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1111"/>
        <w:tblW w:w="10173" w:type="dxa"/>
        <w:tblLook w:val="04A0" w:firstRow="1" w:lastRow="0" w:firstColumn="1" w:lastColumn="0" w:noHBand="0" w:noVBand="1"/>
      </w:tblPr>
      <w:tblGrid>
        <w:gridCol w:w="5228"/>
        <w:gridCol w:w="4945"/>
      </w:tblGrid>
      <w:tr w:rsidR="00C17D90" w:rsidRPr="00A97CB8" w14:paraId="71E49F26" w14:textId="77777777" w:rsidTr="00C17D90">
        <w:tc>
          <w:tcPr>
            <w:tcW w:w="5228" w:type="dxa"/>
          </w:tcPr>
          <w:p w14:paraId="4F8940E2" w14:textId="018099E4" w:rsidR="00C17D90" w:rsidRPr="00C17D90" w:rsidRDefault="00B67558" w:rsidP="00C17D90">
            <w:pPr>
              <w:jc w:val="center"/>
              <w:rPr>
                <w:rFonts w:ascii="Calibri Light" w:hAnsi="Calibri Light"/>
                <w:b/>
                <w:color w:val="FF0000"/>
                <w:sz w:val="32"/>
              </w:rPr>
            </w:pPr>
            <w:r w:rsidRPr="0079262A">
              <w:rPr>
                <w:rFonts w:ascii="Calibri Light" w:hAnsi="Calibri Light"/>
                <w:b/>
                <w:sz w:val="32"/>
              </w:rPr>
              <w:t>Women’s Health Bed Pathway</w:t>
            </w:r>
          </w:p>
        </w:tc>
        <w:tc>
          <w:tcPr>
            <w:tcW w:w="4945" w:type="dxa"/>
          </w:tcPr>
          <w:p w14:paraId="785981E5" w14:textId="77777777" w:rsidR="0079262A" w:rsidRDefault="00B67558" w:rsidP="00C17D90">
            <w:pPr>
              <w:jc w:val="center"/>
              <w:rPr>
                <w:rFonts w:ascii="Calibri Light" w:hAnsi="Calibri Light"/>
                <w:color w:val="000000" w:themeColor="text1"/>
                <w:sz w:val="20"/>
                <w:szCs w:val="20"/>
              </w:rPr>
            </w:pPr>
            <w:r>
              <w:rPr>
                <w:rFonts w:ascii="Calibri Light" w:hAnsi="Calibri Light"/>
                <w:color w:val="000000" w:themeColor="text1"/>
                <w:sz w:val="20"/>
                <w:szCs w:val="20"/>
              </w:rPr>
              <w:t xml:space="preserve">Referrals via </w:t>
            </w:r>
          </w:p>
          <w:p w14:paraId="6F963E65" w14:textId="33C32889" w:rsidR="00C17D90" w:rsidRPr="00C17D90" w:rsidRDefault="00112CC3" w:rsidP="00C17D90">
            <w:pPr>
              <w:jc w:val="center"/>
              <w:rPr>
                <w:rFonts w:ascii="Calibri Light" w:hAnsi="Calibri Light"/>
                <w:color w:val="000000" w:themeColor="text1"/>
                <w:sz w:val="20"/>
                <w:szCs w:val="20"/>
              </w:rPr>
            </w:pPr>
            <w:hyperlink r:id="rId10" w:history="1">
              <w:r w:rsidR="0079262A" w:rsidRPr="00112CC3">
                <w:rPr>
                  <w:rStyle w:val="Hyperlink"/>
                  <w:rFonts w:ascii="Calibri Light" w:hAnsi="Calibri Light"/>
                  <w:sz w:val="20"/>
                  <w:szCs w:val="20"/>
                </w:rPr>
                <w:t>forms.office.com/e/aY9ULV042T</w:t>
              </w:r>
            </w:hyperlink>
            <w:r w:rsidR="00485363">
              <w:rPr>
                <w:rFonts w:ascii="Calibri Light" w:hAnsi="Calibri Light"/>
                <w:color w:val="000000" w:themeColor="text1"/>
                <w:sz w:val="20"/>
                <w:szCs w:val="20"/>
              </w:rPr>
              <w:t xml:space="preserve"> </w:t>
            </w:r>
          </w:p>
        </w:tc>
      </w:tr>
      <w:tr w:rsidR="00C17D90" w:rsidRPr="00644838" w14:paraId="1DD81CCF" w14:textId="77777777" w:rsidTr="00C17D90">
        <w:tc>
          <w:tcPr>
            <w:tcW w:w="10173" w:type="dxa"/>
            <w:gridSpan w:val="2"/>
          </w:tcPr>
          <w:p w14:paraId="6ABA7BC0" w14:textId="77777777" w:rsidR="00C17D90" w:rsidRPr="00644838" w:rsidRDefault="00C17D90" w:rsidP="00C17D90">
            <w:pPr>
              <w:rPr>
                <w:rFonts w:cstheme="minorHAnsi"/>
                <w:b/>
                <w:sz w:val="24"/>
                <w:szCs w:val="28"/>
                <w:u w:val="single"/>
              </w:rPr>
            </w:pPr>
            <w:r w:rsidRPr="00644838">
              <w:rPr>
                <w:rFonts w:cstheme="minorHAnsi"/>
                <w:b/>
                <w:sz w:val="24"/>
                <w:szCs w:val="28"/>
                <w:u w:val="single"/>
              </w:rPr>
              <w:t>About the service:</w:t>
            </w:r>
          </w:p>
          <w:p w14:paraId="0F2A53D6" w14:textId="6787B984" w:rsidR="00C17D90" w:rsidRPr="00644838" w:rsidRDefault="00A32A21" w:rsidP="00C17D90">
            <w:pPr>
              <w:rPr>
                <w:rFonts w:cstheme="minorHAnsi"/>
                <w:sz w:val="24"/>
                <w:szCs w:val="28"/>
              </w:rPr>
            </w:pPr>
            <w:r>
              <w:rPr>
                <w:rFonts w:cstheme="minorHAnsi"/>
                <w:sz w:val="24"/>
                <w:szCs w:val="28"/>
              </w:rPr>
              <w:t>5</w:t>
            </w:r>
            <w:r w:rsidR="00643939">
              <w:rPr>
                <w:rFonts w:cstheme="minorHAnsi"/>
                <w:sz w:val="24"/>
                <w:szCs w:val="28"/>
              </w:rPr>
              <w:t xml:space="preserve"> </w:t>
            </w:r>
            <w:r>
              <w:rPr>
                <w:rFonts w:cstheme="minorHAnsi"/>
                <w:sz w:val="24"/>
                <w:szCs w:val="28"/>
              </w:rPr>
              <w:t>H</w:t>
            </w:r>
            <w:r w:rsidR="00643939">
              <w:rPr>
                <w:rFonts w:cstheme="minorHAnsi"/>
                <w:sz w:val="24"/>
                <w:szCs w:val="28"/>
              </w:rPr>
              <w:t xml:space="preserve">ealth </w:t>
            </w:r>
            <w:r>
              <w:rPr>
                <w:rFonts w:cstheme="minorHAnsi"/>
                <w:sz w:val="24"/>
                <w:szCs w:val="28"/>
              </w:rPr>
              <w:t>B</w:t>
            </w:r>
            <w:r w:rsidR="00643939">
              <w:rPr>
                <w:rFonts w:cstheme="minorHAnsi"/>
                <w:sz w:val="24"/>
                <w:szCs w:val="28"/>
              </w:rPr>
              <w:t xml:space="preserve">eds are </w:t>
            </w:r>
            <w:r>
              <w:rPr>
                <w:rFonts w:cstheme="minorHAnsi"/>
                <w:sz w:val="24"/>
                <w:szCs w:val="28"/>
              </w:rPr>
              <w:t xml:space="preserve">provided </w:t>
            </w:r>
            <w:r w:rsidR="00456C68">
              <w:rPr>
                <w:rFonts w:cstheme="minorHAnsi"/>
                <w:sz w:val="24"/>
                <w:szCs w:val="28"/>
              </w:rPr>
              <w:t>at</w:t>
            </w:r>
            <w:r w:rsidR="00643939">
              <w:rPr>
                <w:rFonts w:cstheme="minorHAnsi"/>
                <w:sz w:val="24"/>
                <w:szCs w:val="28"/>
              </w:rPr>
              <w:t xml:space="preserve"> the Marylebone Project in collaboration with Great Chapel Street. </w:t>
            </w:r>
          </w:p>
          <w:p w14:paraId="41365B09" w14:textId="4FA0A601" w:rsidR="00E66AF9" w:rsidRDefault="00482061" w:rsidP="00643939">
            <w:pPr>
              <w:rPr>
                <w:rFonts w:cstheme="minorHAnsi"/>
                <w:sz w:val="24"/>
                <w:szCs w:val="28"/>
              </w:rPr>
            </w:pPr>
            <w:r>
              <w:rPr>
                <w:rFonts w:cstheme="minorHAnsi"/>
                <w:sz w:val="24"/>
                <w:szCs w:val="28"/>
              </w:rPr>
              <w:t>These provide</w:t>
            </w:r>
            <w:r w:rsidR="00643939" w:rsidRPr="00643939">
              <w:rPr>
                <w:rFonts w:cstheme="minorHAnsi"/>
                <w:sz w:val="24"/>
                <w:szCs w:val="28"/>
              </w:rPr>
              <w:t xml:space="preserve"> 8 week stays for women with physical health issues who may be homeless when leaving hospital or currently sleeping rough and needing safe and secure space to focus on their health needs.</w:t>
            </w:r>
          </w:p>
          <w:p w14:paraId="65DEFF79" w14:textId="77777777" w:rsidR="00C17D90" w:rsidRDefault="00C17D90" w:rsidP="00C17D90">
            <w:pPr>
              <w:rPr>
                <w:rFonts w:cstheme="minorHAnsi"/>
                <w:sz w:val="24"/>
                <w:szCs w:val="28"/>
              </w:rPr>
            </w:pPr>
          </w:p>
          <w:p w14:paraId="56A9670A" w14:textId="2EC758D5" w:rsidR="00913C44" w:rsidRDefault="00913C44" w:rsidP="00913C44">
            <w:pPr>
              <w:rPr>
                <w:rFonts w:cstheme="minorHAnsi"/>
                <w:sz w:val="24"/>
                <w:szCs w:val="28"/>
              </w:rPr>
            </w:pPr>
            <w:r>
              <w:rPr>
                <w:rFonts w:cstheme="minorHAnsi"/>
                <w:sz w:val="24"/>
                <w:szCs w:val="28"/>
              </w:rPr>
              <w:t>The</w:t>
            </w:r>
            <w:r w:rsidR="00972987">
              <w:rPr>
                <w:rFonts w:cstheme="minorHAnsi"/>
                <w:sz w:val="24"/>
                <w:szCs w:val="28"/>
              </w:rPr>
              <w:t xml:space="preserve"> Health Beds consist of </w:t>
            </w:r>
            <w:r>
              <w:rPr>
                <w:rFonts w:cstheme="minorHAnsi"/>
                <w:sz w:val="24"/>
                <w:szCs w:val="28"/>
              </w:rPr>
              <w:t xml:space="preserve">5 single bedrooms, one for a resident with no recourse to public funds (NRPF). There are shared kitchens and bathrooms. 4 of the rooms are on the ground floor, and one is on the first floor, which is accessible by a lift. </w:t>
            </w:r>
          </w:p>
          <w:p w14:paraId="096FC756" w14:textId="29BC5F2E" w:rsidR="00C17D90" w:rsidRDefault="00C17D90" w:rsidP="00913C44">
            <w:pPr>
              <w:rPr>
                <w:rFonts w:cstheme="minorHAnsi"/>
                <w:sz w:val="24"/>
                <w:szCs w:val="28"/>
              </w:rPr>
            </w:pPr>
            <w:r w:rsidRPr="00644838">
              <w:rPr>
                <w:rFonts w:cstheme="minorHAnsi"/>
                <w:sz w:val="24"/>
                <w:szCs w:val="28"/>
              </w:rPr>
              <w:t xml:space="preserve">We do not provide </w:t>
            </w:r>
            <w:r w:rsidR="00A32A21" w:rsidRPr="00644838">
              <w:rPr>
                <w:rFonts w:cstheme="minorHAnsi"/>
                <w:sz w:val="24"/>
                <w:szCs w:val="28"/>
              </w:rPr>
              <w:t>meals,</w:t>
            </w:r>
            <w:r w:rsidRPr="00644838">
              <w:rPr>
                <w:rFonts w:cstheme="minorHAnsi"/>
                <w:sz w:val="24"/>
                <w:szCs w:val="28"/>
              </w:rPr>
              <w:t xml:space="preserve"> </w:t>
            </w:r>
            <w:r w:rsidR="00972987">
              <w:rPr>
                <w:rFonts w:cstheme="minorHAnsi"/>
                <w:sz w:val="24"/>
                <w:szCs w:val="28"/>
              </w:rPr>
              <w:t>but</w:t>
            </w:r>
            <w:r w:rsidRPr="00644838">
              <w:rPr>
                <w:rFonts w:cstheme="minorHAnsi"/>
                <w:sz w:val="24"/>
                <w:szCs w:val="28"/>
              </w:rPr>
              <w:t xml:space="preserve"> each </w:t>
            </w:r>
            <w:r w:rsidR="00913C44">
              <w:rPr>
                <w:rFonts w:cstheme="minorHAnsi"/>
                <w:sz w:val="24"/>
                <w:szCs w:val="28"/>
              </w:rPr>
              <w:t>resident</w:t>
            </w:r>
            <w:r w:rsidRPr="00644838">
              <w:rPr>
                <w:rFonts w:cstheme="minorHAnsi"/>
                <w:sz w:val="24"/>
                <w:szCs w:val="28"/>
              </w:rPr>
              <w:t xml:space="preserve"> has </w:t>
            </w:r>
            <w:r w:rsidR="00913C44">
              <w:rPr>
                <w:rFonts w:cstheme="minorHAnsi"/>
                <w:sz w:val="24"/>
                <w:szCs w:val="28"/>
              </w:rPr>
              <w:t>their</w:t>
            </w:r>
            <w:r w:rsidRPr="00644838">
              <w:rPr>
                <w:rFonts w:cstheme="minorHAnsi"/>
                <w:sz w:val="24"/>
                <w:szCs w:val="28"/>
              </w:rPr>
              <w:t xml:space="preserve"> own cooking facilities</w:t>
            </w:r>
            <w:r w:rsidR="00913C44">
              <w:rPr>
                <w:rFonts w:cstheme="minorHAnsi"/>
                <w:sz w:val="24"/>
                <w:szCs w:val="28"/>
              </w:rPr>
              <w:t xml:space="preserve"> as well as access to donations</w:t>
            </w:r>
            <w:r w:rsidRPr="00644838">
              <w:rPr>
                <w:rFonts w:cstheme="minorHAnsi"/>
                <w:sz w:val="24"/>
                <w:szCs w:val="28"/>
              </w:rPr>
              <w:t>. We provide all cooking utensils. The service charge is £1</w:t>
            </w:r>
            <w:r w:rsidR="00913C44">
              <w:rPr>
                <w:rFonts w:cstheme="minorHAnsi"/>
                <w:sz w:val="24"/>
                <w:szCs w:val="28"/>
              </w:rPr>
              <w:t>5</w:t>
            </w:r>
            <w:r w:rsidRPr="00644838">
              <w:rPr>
                <w:rFonts w:cstheme="minorHAnsi"/>
                <w:sz w:val="24"/>
                <w:szCs w:val="28"/>
              </w:rPr>
              <w:t xml:space="preserve"> a week. Our </w:t>
            </w:r>
            <w:r w:rsidR="00B74E14" w:rsidRPr="00644838">
              <w:rPr>
                <w:rFonts w:cstheme="minorHAnsi"/>
                <w:sz w:val="24"/>
                <w:szCs w:val="28"/>
              </w:rPr>
              <w:t>visitor’s policy</w:t>
            </w:r>
            <w:r w:rsidR="00913C44">
              <w:rPr>
                <w:rFonts w:cstheme="minorHAnsi"/>
                <w:sz w:val="24"/>
                <w:szCs w:val="28"/>
              </w:rPr>
              <w:t xml:space="preserve"> is that only female guests can </w:t>
            </w:r>
            <w:r w:rsidR="00A32A21">
              <w:rPr>
                <w:rFonts w:cstheme="minorHAnsi"/>
                <w:sz w:val="24"/>
                <w:szCs w:val="28"/>
              </w:rPr>
              <w:t xml:space="preserve">visit </w:t>
            </w:r>
            <w:r w:rsidR="00913C44">
              <w:rPr>
                <w:rFonts w:cstheme="minorHAnsi"/>
                <w:sz w:val="24"/>
                <w:szCs w:val="28"/>
              </w:rPr>
              <w:t xml:space="preserve">between the hours of </w:t>
            </w:r>
            <w:r w:rsidR="00563A2D">
              <w:rPr>
                <w:rFonts w:cstheme="minorHAnsi"/>
                <w:sz w:val="24"/>
                <w:szCs w:val="28"/>
              </w:rPr>
              <w:t>10:00</w:t>
            </w:r>
            <w:r w:rsidR="00C35DC8">
              <w:rPr>
                <w:rFonts w:cstheme="minorHAnsi"/>
                <w:sz w:val="24"/>
                <w:szCs w:val="28"/>
              </w:rPr>
              <w:t>am</w:t>
            </w:r>
            <w:r w:rsidR="00563A2D">
              <w:rPr>
                <w:rFonts w:cstheme="minorHAnsi"/>
                <w:sz w:val="24"/>
                <w:szCs w:val="28"/>
              </w:rPr>
              <w:t xml:space="preserve"> and 20:00</w:t>
            </w:r>
            <w:r w:rsidR="00C35DC8">
              <w:rPr>
                <w:rFonts w:cstheme="minorHAnsi"/>
                <w:sz w:val="24"/>
                <w:szCs w:val="28"/>
              </w:rPr>
              <w:t>pm</w:t>
            </w:r>
            <w:r w:rsidR="00563A2D">
              <w:rPr>
                <w:rFonts w:cstheme="minorHAnsi"/>
                <w:sz w:val="24"/>
                <w:szCs w:val="28"/>
              </w:rPr>
              <w:t xml:space="preserve">. </w:t>
            </w:r>
            <w:r w:rsidR="00B74E14" w:rsidRPr="00644838">
              <w:rPr>
                <w:rFonts w:cstheme="minorHAnsi"/>
                <w:sz w:val="24"/>
                <w:szCs w:val="28"/>
              </w:rPr>
              <w:t xml:space="preserve">All visitors </w:t>
            </w:r>
            <w:r w:rsidR="003238B8" w:rsidRPr="00644838">
              <w:rPr>
                <w:rFonts w:cstheme="minorHAnsi"/>
                <w:sz w:val="24"/>
                <w:szCs w:val="28"/>
              </w:rPr>
              <w:t>must</w:t>
            </w:r>
            <w:r w:rsidR="00B74E14" w:rsidRPr="00644838">
              <w:rPr>
                <w:rFonts w:cstheme="minorHAnsi"/>
                <w:sz w:val="24"/>
                <w:szCs w:val="28"/>
              </w:rPr>
              <w:t xml:space="preserve"> present ID</w:t>
            </w:r>
            <w:r w:rsidR="00C35DC8">
              <w:rPr>
                <w:rFonts w:cstheme="minorHAnsi"/>
                <w:sz w:val="24"/>
                <w:szCs w:val="28"/>
              </w:rPr>
              <w:t xml:space="preserve"> and sign in at reception. </w:t>
            </w:r>
            <w:r w:rsidR="00B74E14" w:rsidRPr="00644838">
              <w:rPr>
                <w:rFonts w:cstheme="minorHAnsi"/>
                <w:sz w:val="24"/>
                <w:szCs w:val="28"/>
              </w:rPr>
              <w:t xml:space="preserve"> </w:t>
            </w:r>
          </w:p>
          <w:p w14:paraId="203EDFC6" w14:textId="77777777" w:rsidR="00DA3F23" w:rsidRDefault="00DA3F23" w:rsidP="00DA3F23">
            <w:pPr>
              <w:rPr>
                <w:rFonts w:cstheme="minorHAnsi"/>
                <w:sz w:val="24"/>
                <w:szCs w:val="28"/>
              </w:rPr>
            </w:pPr>
            <w:r>
              <w:rPr>
                <w:rFonts w:cstheme="minorHAnsi"/>
                <w:sz w:val="24"/>
                <w:szCs w:val="28"/>
              </w:rPr>
              <w:t xml:space="preserve">The Marylebone Project benefits from in-reach from CGL, Turning Point as well as on site EET support and creative groups. </w:t>
            </w:r>
          </w:p>
          <w:p w14:paraId="70B9AABE" w14:textId="1ECA49CD" w:rsidR="00DA3F23" w:rsidRPr="00644838" w:rsidRDefault="00DA3F23" w:rsidP="00913C44">
            <w:pPr>
              <w:rPr>
                <w:rFonts w:cstheme="minorHAnsi"/>
                <w:sz w:val="28"/>
                <w:szCs w:val="28"/>
              </w:rPr>
            </w:pPr>
          </w:p>
        </w:tc>
      </w:tr>
      <w:tr w:rsidR="00C17D90" w:rsidRPr="00644838" w14:paraId="15B8EB4E" w14:textId="77777777" w:rsidTr="00C17D90">
        <w:tc>
          <w:tcPr>
            <w:tcW w:w="10173" w:type="dxa"/>
            <w:gridSpan w:val="2"/>
          </w:tcPr>
          <w:p w14:paraId="06D5E654" w14:textId="77777777" w:rsidR="00C17D90" w:rsidRPr="00644838" w:rsidRDefault="00C17D90" w:rsidP="00C17D90">
            <w:pPr>
              <w:rPr>
                <w:rFonts w:cstheme="minorHAnsi"/>
                <w:b/>
                <w:sz w:val="24"/>
                <w:szCs w:val="28"/>
              </w:rPr>
            </w:pPr>
            <w:r w:rsidRPr="00644838">
              <w:rPr>
                <w:rFonts w:cstheme="minorHAnsi"/>
                <w:b/>
                <w:sz w:val="24"/>
                <w:szCs w:val="28"/>
                <w:u w:val="single"/>
              </w:rPr>
              <w:t xml:space="preserve">Client criteria: </w:t>
            </w:r>
          </w:p>
          <w:p w14:paraId="717A49B0" w14:textId="4C98D3E7" w:rsidR="00C35DC8" w:rsidRPr="00C35DC8" w:rsidRDefault="003238B8" w:rsidP="00C35DC8">
            <w:pPr>
              <w:tabs>
                <w:tab w:val="num" w:pos="720"/>
              </w:tabs>
              <w:rPr>
                <w:rFonts w:cstheme="minorHAnsi"/>
                <w:sz w:val="24"/>
                <w:szCs w:val="28"/>
              </w:rPr>
            </w:pPr>
            <w:r>
              <w:rPr>
                <w:rFonts w:cstheme="minorHAnsi"/>
                <w:sz w:val="24"/>
                <w:szCs w:val="28"/>
              </w:rPr>
              <w:t>Women</w:t>
            </w:r>
            <w:r w:rsidR="00C35DC8">
              <w:rPr>
                <w:rFonts w:cstheme="minorHAnsi"/>
                <w:sz w:val="24"/>
                <w:szCs w:val="28"/>
              </w:rPr>
              <w:t xml:space="preserve"> over the age of 18. They must have a p</w:t>
            </w:r>
            <w:r w:rsidR="00C35DC8" w:rsidRPr="00C35DC8">
              <w:rPr>
                <w:rFonts w:cstheme="minorHAnsi"/>
                <w:sz w:val="24"/>
                <w:szCs w:val="28"/>
              </w:rPr>
              <w:t>hysical health issue that would benefit from intervention and likely to improve over 8 weeks</w:t>
            </w:r>
          </w:p>
          <w:p w14:paraId="7B69D2A1" w14:textId="08DB269F" w:rsidR="00C35DC8" w:rsidRPr="00C35DC8" w:rsidRDefault="00A32A21" w:rsidP="00C35DC8">
            <w:pPr>
              <w:rPr>
                <w:rFonts w:cstheme="minorHAnsi"/>
                <w:sz w:val="24"/>
                <w:szCs w:val="28"/>
              </w:rPr>
            </w:pPr>
            <w:r>
              <w:rPr>
                <w:rFonts w:cstheme="minorHAnsi"/>
                <w:sz w:val="24"/>
                <w:szCs w:val="28"/>
              </w:rPr>
              <w:t>Clients</w:t>
            </w:r>
            <w:r w:rsidR="00C35DC8">
              <w:rPr>
                <w:rFonts w:cstheme="minorHAnsi"/>
                <w:sz w:val="24"/>
                <w:szCs w:val="28"/>
              </w:rPr>
              <w:t xml:space="preserve"> must be r</w:t>
            </w:r>
            <w:r w:rsidR="00C35DC8" w:rsidRPr="00C35DC8">
              <w:rPr>
                <w:rFonts w:cstheme="minorHAnsi"/>
                <w:sz w:val="24"/>
                <w:szCs w:val="28"/>
              </w:rPr>
              <w:t>ough sleeping in Westminster (ideally CHAIN verified but case-by-case consideration for non-CHAIN)</w:t>
            </w:r>
          </w:p>
          <w:p w14:paraId="129ADFCE" w14:textId="77777777" w:rsidR="00A32A21" w:rsidRDefault="00C56366" w:rsidP="00C56366">
            <w:pPr>
              <w:rPr>
                <w:rFonts w:cstheme="minorHAnsi"/>
                <w:sz w:val="24"/>
                <w:szCs w:val="28"/>
              </w:rPr>
            </w:pPr>
            <w:r>
              <w:rPr>
                <w:rFonts w:cstheme="minorHAnsi"/>
                <w:sz w:val="24"/>
                <w:szCs w:val="28"/>
              </w:rPr>
              <w:t>Referrers must get c</w:t>
            </w:r>
            <w:r w:rsidR="00C35DC8" w:rsidRPr="00C35DC8">
              <w:rPr>
                <w:rFonts w:cstheme="minorHAnsi"/>
                <w:sz w:val="24"/>
                <w:szCs w:val="28"/>
              </w:rPr>
              <w:t>onsent from the person to refer them to a health bed, understanding that working with the health team is a condition of their stay</w:t>
            </w:r>
            <w:r>
              <w:rPr>
                <w:rFonts w:cstheme="minorHAnsi"/>
                <w:sz w:val="24"/>
                <w:szCs w:val="28"/>
              </w:rPr>
              <w:t>.</w:t>
            </w:r>
            <w:r w:rsidR="00B74E14" w:rsidRPr="00644838">
              <w:rPr>
                <w:rFonts w:cstheme="minorHAnsi"/>
                <w:sz w:val="24"/>
                <w:szCs w:val="28"/>
              </w:rPr>
              <w:t xml:space="preserve"> </w:t>
            </w:r>
          </w:p>
          <w:p w14:paraId="56F1CFAC" w14:textId="5CB199B4" w:rsidR="003238B8" w:rsidRPr="003238B8" w:rsidRDefault="00A32A21" w:rsidP="00C56366">
            <w:pPr>
              <w:rPr>
                <w:rFonts w:cstheme="minorHAnsi"/>
                <w:sz w:val="24"/>
                <w:szCs w:val="28"/>
              </w:rPr>
            </w:pPr>
            <w:r>
              <w:rPr>
                <w:rFonts w:cstheme="minorHAnsi"/>
                <w:sz w:val="24"/>
                <w:szCs w:val="28"/>
              </w:rPr>
              <w:t>Clients</w:t>
            </w:r>
            <w:r w:rsidR="003238B8">
              <w:rPr>
                <w:rFonts w:cstheme="minorHAnsi"/>
                <w:sz w:val="24"/>
                <w:szCs w:val="28"/>
              </w:rPr>
              <w:t xml:space="preserve"> must agree to temporarily register with Great Chapel Street </w:t>
            </w:r>
            <w:proofErr w:type="gramStart"/>
            <w:r w:rsidR="003238B8">
              <w:rPr>
                <w:rFonts w:cstheme="minorHAnsi"/>
                <w:sz w:val="24"/>
                <w:szCs w:val="28"/>
              </w:rPr>
              <w:t>during the course of</w:t>
            </w:r>
            <w:proofErr w:type="gramEnd"/>
            <w:r w:rsidR="003238B8">
              <w:rPr>
                <w:rFonts w:cstheme="minorHAnsi"/>
                <w:sz w:val="24"/>
                <w:szCs w:val="28"/>
              </w:rPr>
              <w:t xml:space="preserve"> their stay in the health beds. </w:t>
            </w:r>
          </w:p>
        </w:tc>
      </w:tr>
      <w:tr w:rsidR="003238B8" w:rsidRPr="00644838" w14:paraId="458F98AB" w14:textId="77777777" w:rsidTr="00C17D90">
        <w:tc>
          <w:tcPr>
            <w:tcW w:w="10173" w:type="dxa"/>
            <w:gridSpan w:val="2"/>
          </w:tcPr>
          <w:p w14:paraId="5D59BB3A" w14:textId="4CD3AEE7" w:rsidR="003238B8" w:rsidRPr="00644838" w:rsidRDefault="003238B8" w:rsidP="003238B8">
            <w:pPr>
              <w:rPr>
                <w:rFonts w:cstheme="minorHAnsi"/>
                <w:b/>
                <w:sz w:val="24"/>
                <w:szCs w:val="28"/>
                <w:u w:val="single"/>
              </w:rPr>
            </w:pPr>
            <w:r>
              <w:rPr>
                <w:rFonts w:cstheme="minorHAnsi"/>
                <w:b/>
                <w:sz w:val="24"/>
                <w:szCs w:val="28"/>
                <w:u w:val="single"/>
              </w:rPr>
              <w:t>Referral Process</w:t>
            </w:r>
          </w:p>
          <w:p w14:paraId="2FAAA73A" w14:textId="5FD5A1AD" w:rsidR="003238B8" w:rsidRDefault="003238B8" w:rsidP="003238B8">
            <w:pPr>
              <w:rPr>
                <w:rFonts w:cstheme="minorHAnsi"/>
                <w:bCs/>
                <w:sz w:val="24"/>
                <w:szCs w:val="28"/>
              </w:rPr>
            </w:pPr>
            <w:r>
              <w:rPr>
                <w:rFonts w:cstheme="minorHAnsi"/>
                <w:bCs/>
                <w:sz w:val="24"/>
                <w:szCs w:val="28"/>
              </w:rPr>
              <w:t>Referrals are sent via</w:t>
            </w:r>
            <w:r w:rsidR="00456C68">
              <w:rPr>
                <w:rFonts w:cstheme="minorHAnsi"/>
                <w:bCs/>
                <w:sz w:val="24"/>
                <w:szCs w:val="28"/>
              </w:rPr>
              <w:t xml:space="preserve"> the</w:t>
            </w:r>
            <w:r>
              <w:rPr>
                <w:rFonts w:cstheme="minorHAnsi"/>
                <w:bCs/>
                <w:sz w:val="24"/>
                <w:szCs w:val="28"/>
              </w:rPr>
              <w:t xml:space="preserve"> link </w:t>
            </w:r>
            <w:r w:rsidR="00456C68">
              <w:rPr>
                <w:rFonts w:cstheme="minorHAnsi"/>
                <w:bCs/>
                <w:sz w:val="24"/>
                <w:szCs w:val="28"/>
              </w:rPr>
              <w:t xml:space="preserve">above </w:t>
            </w:r>
            <w:r>
              <w:rPr>
                <w:rFonts w:cstheme="minorHAnsi"/>
                <w:bCs/>
                <w:sz w:val="24"/>
                <w:szCs w:val="28"/>
              </w:rPr>
              <w:t xml:space="preserve">and is then triaged by </w:t>
            </w:r>
            <w:r w:rsidR="00DF4C10">
              <w:rPr>
                <w:rFonts w:cstheme="minorHAnsi"/>
                <w:bCs/>
                <w:sz w:val="24"/>
                <w:szCs w:val="28"/>
              </w:rPr>
              <w:t xml:space="preserve">the Additional Health Needs Pathways Co-ordinator and then assessed for clinical suitability by the team at Great Chapel Street. It is then passed to The Marylebone Project where an assessment is arranged. </w:t>
            </w:r>
          </w:p>
          <w:p w14:paraId="7EFE58DF" w14:textId="68D8F38A" w:rsidR="00DF4C10" w:rsidRDefault="00DF4C10" w:rsidP="003238B8">
            <w:pPr>
              <w:rPr>
                <w:rFonts w:cstheme="minorHAnsi"/>
                <w:bCs/>
                <w:sz w:val="24"/>
                <w:szCs w:val="28"/>
              </w:rPr>
            </w:pPr>
            <w:r>
              <w:rPr>
                <w:rFonts w:cstheme="minorHAnsi"/>
                <w:bCs/>
                <w:sz w:val="24"/>
                <w:szCs w:val="28"/>
              </w:rPr>
              <w:t xml:space="preserve">The aim is for this to be done within 36 hours, and </w:t>
            </w:r>
            <w:r w:rsidR="00456C68">
              <w:rPr>
                <w:rFonts w:cstheme="minorHAnsi"/>
                <w:bCs/>
                <w:sz w:val="24"/>
                <w:szCs w:val="28"/>
              </w:rPr>
              <w:t>to</w:t>
            </w:r>
            <w:r>
              <w:rPr>
                <w:rFonts w:cstheme="minorHAnsi"/>
                <w:bCs/>
                <w:sz w:val="24"/>
                <w:szCs w:val="28"/>
              </w:rPr>
              <w:t xml:space="preserve"> make this process as s</w:t>
            </w:r>
            <w:r w:rsidR="00456C68">
              <w:rPr>
                <w:rFonts w:cstheme="minorHAnsi"/>
                <w:bCs/>
                <w:sz w:val="24"/>
                <w:szCs w:val="28"/>
              </w:rPr>
              <w:t>treamlined</w:t>
            </w:r>
            <w:r>
              <w:rPr>
                <w:rFonts w:cstheme="minorHAnsi"/>
                <w:bCs/>
                <w:sz w:val="24"/>
                <w:szCs w:val="28"/>
              </w:rPr>
              <w:t xml:space="preserve"> as possible it is requested that</w:t>
            </w:r>
            <w:r w:rsidR="0007353A">
              <w:rPr>
                <w:rFonts w:cstheme="minorHAnsi"/>
                <w:bCs/>
                <w:sz w:val="24"/>
                <w:szCs w:val="28"/>
              </w:rPr>
              <w:t xml:space="preserve"> on the referral form there is</w:t>
            </w:r>
            <w:r>
              <w:rPr>
                <w:rFonts w:cstheme="minorHAnsi"/>
                <w:bCs/>
                <w:sz w:val="24"/>
                <w:szCs w:val="28"/>
              </w:rPr>
              <w:t xml:space="preserve">: </w:t>
            </w:r>
          </w:p>
          <w:p w14:paraId="0D759BC5" w14:textId="2FB1FCC3" w:rsidR="00DF4C10" w:rsidRDefault="0007353A" w:rsidP="0007353A">
            <w:pPr>
              <w:pStyle w:val="ListParagraph"/>
              <w:numPr>
                <w:ilvl w:val="0"/>
                <w:numId w:val="5"/>
              </w:numPr>
              <w:rPr>
                <w:rFonts w:cstheme="minorHAnsi"/>
                <w:bCs/>
                <w:sz w:val="24"/>
                <w:szCs w:val="28"/>
              </w:rPr>
            </w:pPr>
            <w:r>
              <w:rPr>
                <w:rFonts w:cstheme="minorHAnsi"/>
                <w:bCs/>
                <w:sz w:val="24"/>
                <w:szCs w:val="28"/>
              </w:rPr>
              <w:t>Full risk history</w:t>
            </w:r>
          </w:p>
          <w:p w14:paraId="416ACEFE" w14:textId="77777777" w:rsidR="0007353A" w:rsidRDefault="00B05A8F" w:rsidP="0007353A">
            <w:pPr>
              <w:pStyle w:val="ListParagraph"/>
              <w:numPr>
                <w:ilvl w:val="0"/>
                <w:numId w:val="5"/>
              </w:numPr>
              <w:rPr>
                <w:rFonts w:cstheme="minorHAnsi"/>
                <w:bCs/>
                <w:sz w:val="24"/>
                <w:szCs w:val="28"/>
              </w:rPr>
            </w:pPr>
            <w:r>
              <w:rPr>
                <w:rFonts w:cstheme="minorHAnsi"/>
                <w:bCs/>
                <w:sz w:val="24"/>
                <w:szCs w:val="28"/>
              </w:rPr>
              <w:t>Clear and detailed health needs</w:t>
            </w:r>
          </w:p>
          <w:p w14:paraId="138E9AE2" w14:textId="77777777" w:rsidR="00B05A8F" w:rsidRDefault="00B05A8F" w:rsidP="0007353A">
            <w:pPr>
              <w:pStyle w:val="ListParagraph"/>
              <w:numPr>
                <w:ilvl w:val="0"/>
                <w:numId w:val="5"/>
              </w:numPr>
              <w:rPr>
                <w:rFonts w:cstheme="minorHAnsi"/>
                <w:bCs/>
                <w:sz w:val="24"/>
                <w:szCs w:val="28"/>
              </w:rPr>
            </w:pPr>
            <w:r>
              <w:rPr>
                <w:rFonts w:cstheme="minorHAnsi"/>
                <w:bCs/>
                <w:sz w:val="24"/>
                <w:szCs w:val="28"/>
              </w:rPr>
              <w:t>Clear mobility and care needs</w:t>
            </w:r>
          </w:p>
          <w:p w14:paraId="1557E9C0" w14:textId="77777777" w:rsidR="008455D0" w:rsidRDefault="00B05A8F" w:rsidP="008455D0">
            <w:pPr>
              <w:pStyle w:val="ListParagraph"/>
              <w:numPr>
                <w:ilvl w:val="0"/>
                <w:numId w:val="5"/>
              </w:numPr>
              <w:rPr>
                <w:rFonts w:cstheme="minorHAnsi"/>
                <w:bCs/>
                <w:sz w:val="24"/>
                <w:szCs w:val="28"/>
              </w:rPr>
            </w:pPr>
            <w:r>
              <w:rPr>
                <w:rFonts w:cstheme="minorHAnsi"/>
                <w:bCs/>
                <w:sz w:val="24"/>
                <w:szCs w:val="28"/>
              </w:rPr>
              <w:t>An existing move on plan</w:t>
            </w:r>
          </w:p>
          <w:p w14:paraId="564DC5B5" w14:textId="77777777" w:rsidR="008455D0" w:rsidRDefault="008455D0" w:rsidP="008455D0">
            <w:pPr>
              <w:pStyle w:val="ListParagraph"/>
              <w:numPr>
                <w:ilvl w:val="0"/>
                <w:numId w:val="5"/>
              </w:numPr>
              <w:rPr>
                <w:rFonts w:cstheme="minorHAnsi"/>
                <w:bCs/>
                <w:sz w:val="24"/>
                <w:szCs w:val="28"/>
              </w:rPr>
            </w:pPr>
            <w:r>
              <w:rPr>
                <w:rFonts w:cstheme="minorHAnsi"/>
                <w:bCs/>
                <w:sz w:val="24"/>
                <w:szCs w:val="28"/>
              </w:rPr>
              <w:t>Previous history of hostel placements, even if excluded</w:t>
            </w:r>
          </w:p>
          <w:p w14:paraId="68F97879" w14:textId="6CDCF346" w:rsidR="008455D0" w:rsidRPr="008455D0" w:rsidRDefault="008455D0" w:rsidP="008455D0">
            <w:pPr>
              <w:pStyle w:val="ListParagraph"/>
              <w:numPr>
                <w:ilvl w:val="0"/>
                <w:numId w:val="5"/>
              </w:numPr>
              <w:rPr>
                <w:rFonts w:cstheme="minorHAnsi"/>
                <w:bCs/>
                <w:sz w:val="24"/>
                <w:szCs w:val="28"/>
              </w:rPr>
            </w:pPr>
            <w:r>
              <w:rPr>
                <w:rFonts w:cstheme="minorHAnsi"/>
                <w:bCs/>
                <w:sz w:val="24"/>
                <w:szCs w:val="28"/>
              </w:rPr>
              <w:t>A draft discharge summary (if a step down from hospital)</w:t>
            </w:r>
          </w:p>
        </w:tc>
      </w:tr>
      <w:tr w:rsidR="00C17D90" w:rsidRPr="00644838" w14:paraId="51970D34" w14:textId="77777777" w:rsidTr="00C17D90">
        <w:trPr>
          <w:trHeight w:val="3097"/>
        </w:trPr>
        <w:tc>
          <w:tcPr>
            <w:tcW w:w="10173" w:type="dxa"/>
            <w:gridSpan w:val="2"/>
          </w:tcPr>
          <w:p w14:paraId="5E2F507B" w14:textId="77777777" w:rsidR="00C17D90" w:rsidRPr="00644838" w:rsidRDefault="00C17D90" w:rsidP="00C17D90">
            <w:pPr>
              <w:rPr>
                <w:rFonts w:cstheme="minorHAnsi"/>
                <w:b/>
                <w:sz w:val="24"/>
                <w:szCs w:val="28"/>
                <w:u w:val="single"/>
              </w:rPr>
            </w:pPr>
            <w:r w:rsidRPr="00644838">
              <w:rPr>
                <w:rFonts w:cstheme="minorHAnsi"/>
                <w:b/>
                <w:sz w:val="24"/>
                <w:szCs w:val="28"/>
                <w:u w:val="single"/>
              </w:rPr>
              <w:lastRenderedPageBreak/>
              <w:t>Support:</w:t>
            </w:r>
          </w:p>
          <w:p w14:paraId="37640CCF" w14:textId="77777777" w:rsidR="00E3512F" w:rsidRDefault="00C56366" w:rsidP="003238B8">
            <w:pPr>
              <w:rPr>
                <w:rFonts w:cstheme="minorHAnsi"/>
                <w:sz w:val="24"/>
                <w:szCs w:val="28"/>
              </w:rPr>
            </w:pPr>
            <w:r>
              <w:rPr>
                <w:rFonts w:cstheme="minorHAnsi"/>
                <w:sz w:val="24"/>
                <w:szCs w:val="28"/>
              </w:rPr>
              <w:t>The Homeless Health Advanced Nurse Practitioner attends the project twice a week</w:t>
            </w:r>
            <w:r w:rsidR="00E3512F">
              <w:rPr>
                <w:rFonts w:cstheme="minorHAnsi"/>
                <w:sz w:val="24"/>
                <w:szCs w:val="28"/>
              </w:rPr>
              <w:t>. Their role is:</w:t>
            </w:r>
          </w:p>
          <w:p w14:paraId="6B1BA0FD" w14:textId="0EDEF29B" w:rsidR="00E3512F" w:rsidRPr="00E3512F" w:rsidRDefault="00E3512F" w:rsidP="00E3512F">
            <w:pPr>
              <w:numPr>
                <w:ilvl w:val="0"/>
                <w:numId w:val="3"/>
              </w:numPr>
              <w:rPr>
                <w:rFonts w:cstheme="minorHAnsi"/>
                <w:sz w:val="24"/>
                <w:szCs w:val="28"/>
              </w:rPr>
            </w:pPr>
            <w:r w:rsidRPr="00E3512F">
              <w:rPr>
                <w:rFonts w:cstheme="minorHAnsi"/>
                <w:sz w:val="24"/>
                <w:szCs w:val="28"/>
              </w:rPr>
              <w:t>Health assessment and care plan</w:t>
            </w:r>
          </w:p>
          <w:p w14:paraId="1DFBFEBA" w14:textId="77777777" w:rsidR="00E3512F" w:rsidRPr="00E3512F" w:rsidRDefault="00E3512F" w:rsidP="00E3512F">
            <w:pPr>
              <w:numPr>
                <w:ilvl w:val="0"/>
                <w:numId w:val="3"/>
              </w:numPr>
              <w:rPr>
                <w:rFonts w:cstheme="minorHAnsi"/>
                <w:sz w:val="24"/>
                <w:szCs w:val="28"/>
              </w:rPr>
            </w:pPr>
            <w:r w:rsidRPr="00E3512F">
              <w:rPr>
                <w:rFonts w:cstheme="minorHAnsi"/>
                <w:sz w:val="24"/>
                <w:szCs w:val="28"/>
              </w:rPr>
              <w:t>Health treatment and advice</w:t>
            </w:r>
          </w:p>
          <w:p w14:paraId="6767DFF0" w14:textId="77777777" w:rsidR="00E3512F" w:rsidRPr="00E3512F" w:rsidRDefault="00E3512F" w:rsidP="00E3512F">
            <w:pPr>
              <w:numPr>
                <w:ilvl w:val="0"/>
                <w:numId w:val="3"/>
              </w:numPr>
              <w:rPr>
                <w:rFonts w:cstheme="minorHAnsi"/>
                <w:sz w:val="24"/>
                <w:szCs w:val="28"/>
              </w:rPr>
            </w:pPr>
            <w:r w:rsidRPr="00E3512F">
              <w:rPr>
                <w:rFonts w:cstheme="minorHAnsi"/>
                <w:sz w:val="24"/>
                <w:szCs w:val="28"/>
              </w:rPr>
              <w:t>Prescriptions</w:t>
            </w:r>
          </w:p>
          <w:p w14:paraId="1706E723" w14:textId="77777777" w:rsidR="00E3512F" w:rsidRPr="00E3512F" w:rsidRDefault="00E3512F" w:rsidP="00E3512F">
            <w:pPr>
              <w:numPr>
                <w:ilvl w:val="0"/>
                <w:numId w:val="3"/>
              </w:numPr>
              <w:rPr>
                <w:rFonts w:cstheme="minorHAnsi"/>
                <w:sz w:val="24"/>
                <w:szCs w:val="28"/>
              </w:rPr>
            </w:pPr>
            <w:r w:rsidRPr="00E3512F">
              <w:rPr>
                <w:rFonts w:cstheme="minorHAnsi"/>
                <w:sz w:val="24"/>
                <w:szCs w:val="28"/>
              </w:rPr>
              <w:t xml:space="preserve">Vaccinations </w:t>
            </w:r>
          </w:p>
          <w:p w14:paraId="7EDDE13C" w14:textId="77777777" w:rsidR="00E3512F" w:rsidRPr="00E3512F" w:rsidRDefault="00E3512F" w:rsidP="00E3512F">
            <w:pPr>
              <w:numPr>
                <w:ilvl w:val="0"/>
                <w:numId w:val="3"/>
              </w:numPr>
              <w:rPr>
                <w:rFonts w:cstheme="minorHAnsi"/>
                <w:sz w:val="24"/>
                <w:szCs w:val="28"/>
              </w:rPr>
            </w:pPr>
            <w:r w:rsidRPr="00E3512F">
              <w:rPr>
                <w:rFonts w:cstheme="minorHAnsi"/>
                <w:sz w:val="24"/>
                <w:szCs w:val="28"/>
              </w:rPr>
              <w:t>Wound care</w:t>
            </w:r>
          </w:p>
          <w:p w14:paraId="2116AB7E" w14:textId="77777777" w:rsidR="00E3512F" w:rsidRPr="00E3512F" w:rsidRDefault="00E3512F" w:rsidP="00E3512F">
            <w:pPr>
              <w:numPr>
                <w:ilvl w:val="0"/>
                <w:numId w:val="3"/>
              </w:numPr>
              <w:rPr>
                <w:rFonts w:cstheme="minorHAnsi"/>
                <w:sz w:val="24"/>
                <w:szCs w:val="28"/>
              </w:rPr>
            </w:pPr>
            <w:r w:rsidRPr="00E3512F">
              <w:rPr>
                <w:rFonts w:cstheme="minorHAnsi"/>
                <w:sz w:val="24"/>
                <w:szCs w:val="28"/>
              </w:rPr>
              <w:t>Referrals to other health services</w:t>
            </w:r>
          </w:p>
          <w:p w14:paraId="25304467" w14:textId="77777777" w:rsidR="007D76DD" w:rsidRDefault="00E3512F" w:rsidP="00DA3F23">
            <w:pPr>
              <w:rPr>
                <w:rFonts w:cstheme="minorHAnsi"/>
                <w:sz w:val="24"/>
                <w:szCs w:val="28"/>
              </w:rPr>
            </w:pPr>
            <w:r>
              <w:rPr>
                <w:rFonts w:cstheme="minorHAnsi"/>
                <w:sz w:val="24"/>
                <w:szCs w:val="28"/>
              </w:rPr>
              <w:t>The Health Navigator is on site Monday-Friday 9-5pm. Their role is:</w:t>
            </w:r>
          </w:p>
          <w:p w14:paraId="5997D2E6" w14:textId="333F79CC" w:rsidR="007D76DD" w:rsidRPr="007D76DD" w:rsidRDefault="007D76DD" w:rsidP="007D76DD">
            <w:pPr>
              <w:numPr>
                <w:ilvl w:val="0"/>
                <w:numId w:val="4"/>
              </w:numPr>
              <w:rPr>
                <w:rFonts w:cstheme="minorHAnsi"/>
                <w:sz w:val="24"/>
                <w:szCs w:val="28"/>
              </w:rPr>
            </w:pPr>
            <w:r w:rsidRPr="007D76DD">
              <w:rPr>
                <w:rFonts w:cstheme="minorHAnsi"/>
                <w:sz w:val="24"/>
                <w:szCs w:val="28"/>
              </w:rPr>
              <w:t>Day to day support</w:t>
            </w:r>
          </w:p>
          <w:p w14:paraId="3082ABBB" w14:textId="77777777" w:rsidR="007D76DD" w:rsidRPr="007D76DD" w:rsidRDefault="007D76DD" w:rsidP="007D76DD">
            <w:pPr>
              <w:numPr>
                <w:ilvl w:val="0"/>
                <w:numId w:val="4"/>
              </w:numPr>
              <w:rPr>
                <w:rFonts w:cstheme="minorHAnsi"/>
                <w:sz w:val="24"/>
                <w:szCs w:val="28"/>
              </w:rPr>
            </w:pPr>
            <w:r w:rsidRPr="007D76DD">
              <w:rPr>
                <w:rFonts w:cstheme="minorHAnsi"/>
                <w:sz w:val="24"/>
                <w:szCs w:val="28"/>
              </w:rPr>
              <w:t>Support planning</w:t>
            </w:r>
          </w:p>
          <w:p w14:paraId="2002FE2D" w14:textId="7EDC9BCD" w:rsidR="007D76DD" w:rsidRPr="007D76DD" w:rsidRDefault="007D76DD" w:rsidP="007D76DD">
            <w:pPr>
              <w:numPr>
                <w:ilvl w:val="0"/>
                <w:numId w:val="4"/>
              </w:numPr>
              <w:rPr>
                <w:rFonts w:cstheme="minorHAnsi"/>
                <w:sz w:val="24"/>
                <w:szCs w:val="28"/>
              </w:rPr>
            </w:pPr>
            <w:r w:rsidRPr="007D76DD">
              <w:rPr>
                <w:rFonts w:cstheme="minorHAnsi"/>
                <w:sz w:val="24"/>
                <w:szCs w:val="28"/>
              </w:rPr>
              <w:t xml:space="preserve">Empowering </w:t>
            </w:r>
            <w:r>
              <w:rPr>
                <w:rFonts w:cstheme="minorHAnsi"/>
                <w:sz w:val="24"/>
                <w:szCs w:val="28"/>
              </w:rPr>
              <w:t>the resident</w:t>
            </w:r>
            <w:r w:rsidRPr="007D76DD">
              <w:rPr>
                <w:rFonts w:cstheme="minorHAnsi"/>
                <w:sz w:val="24"/>
                <w:szCs w:val="28"/>
              </w:rPr>
              <w:t xml:space="preserve"> to </w:t>
            </w:r>
            <w:r w:rsidR="00A32A21" w:rsidRPr="007D76DD">
              <w:rPr>
                <w:rFonts w:cstheme="minorHAnsi"/>
                <w:sz w:val="24"/>
                <w:szCs w:val="28"/>
              </w:rPr>
              <w:t>self-manage</w:t>
            </w:r>
          </w:p>
          <w:p w14:paraId="2DDDC4A3" w14:textId="77777777" w:rsidR="007D76DD" w:rsidRPr="007D76DD" w:rsidRDefault="007D76DD" w:rsidP="007D76DD">
            <w:pPr>
              <w:numPr>
                <w:ilvl w:val="0"/>
                <w:numId w:val="4"/>
              </w:numPr>
              <w:rPr>
                <w:rFonts w:cstheme="minorHAnsi"/>
                <w:sz w:val="24"/>
                <w:szCs w:val="28"/>
              </w:rPr>
            </w:pPr>
            <w:r w:rsidRPr="007D76DD">
              <w:rPr>
                <w:rFonts w:cstheme="minorHAnsi"/>
                <w:sz w:val="24"/>
                <w:szCs w:val="28"/>
              </w:rPr>
              <w:t>Signposting to agencies for holistic support</w:t>
            </w:r>
          </w:p>
          <w:p w14:paraId="2FCD7536" w14:textId="77777777" w:rsidR="007D76DD" w:rsidRPr="007D76DD" w:rsidRDefault="007D76DD" w:rsidP="007D76DD">
            <w:pPr>
              <w:numPr>
                <w:ilvl w:val="0"/>
                <w:numId w:val="4"/>
              </w:numPr>
              <w:rPr>
                <w:rFonts w:cstheme="minorHAnsi"/>
                <w:sz w:val="24"/>
                <w:szCs w:val="28"/>
              </w:rPr>
            </w:pPr>
            <w:r w:rsidRPr="007D76DD">
              <w:rPr>
                <w:rFonts w:cstheme="minorHAnsi"/>
                <w:sz w:val="24"/>
                <w:szCs w:val="28"/>
              </w:rPr>
              <w:t>Support with groups and activities</w:t>
            </w:r>
          </w:p>
          <w:p w14:paraId="7D556F2D" w14:textId="19D00470" w:rsidR="00C17D90" w:rsidRPr="00644838" w:rsidRDefault="007D76DD" w:rsidP="00C17D90">
            <w:pPr>
              <w:rPr>
                <w:rFonts w:cstheme="minorHAnsi"/>
                <w:sz w:val="24"/>
                <w:szCs w:val="28"/>
              </w:rPr>
            </w:pPr>
            <w:r>
              <w:rPr>
                <w:rFonts w:cstheme="minorHAnsi"/>
                <w:sz w:val="24"/>
                <w:szCs w:val="28"/>
              </w:rPr>
              <w:t xml:space="preserve">There </w:t>
            </w:r>
            <w:r w:rsidR="00A32A21">
              <w:rPr>
                <w:rFonts w:cstheme="minorHAnsi"/>
                <w:sz w:val="24"/>
                <w:szCs w:val="28"/>
              </w:rPr>
              <w:t>are</w:t>
            </w:r>
            <w:r>
              <w:rPr>
                <w:rFonts w:cstheme="minorHAnsi"/>
                <w:sz w:val="24"/>
                <w:szCs w:val="28"/>
              </w:rPr>
              <w:t xml:space="preserve"> weekly meetings with the wider team at TMP and GCS including input from a GP. </w:t>
            </w:r>
          </w:p>
        </w:tc>
      </w:tr>
      <w:tr w:rsidR="00C17D90" w:rsidRPr="00644838" w14:paraId="3609F97C" w14:textId="77777777" w:rsidTr="00C17D90">
        <w:tc>
          <w:tcPr>
            <w:tcW w:w="10173" w:type="dxa"/>
            <w:gridSpan w:val="2"/>
          </w:tcPr>
          <w:p w14:paraId="2AE26779" w14:textId="77777777" w:rsidR="00C17D90" w:rsidRPr="00644838" w:rsidRDefault="00C17D90" w:rsidP="00C17D90">
            <w:pPr>
              <w:rPr>
                <w:rFonts w:cstheme="minorHAnsi"/>
                <w:b/>
                <w:sz w:val="24"/>
                <w:szCs w:val="28"/>
                <w:u w:val="single"/>
              </w:rPr>
            </w:pPr>
            <w:r w:rsidRPr="00644838">
              <w:rPr>
                <w:rFonts w:cstheme="minorHAnsi"/>
                <w:b/>
                <w:sz w:val="24"/>
                <w:szCs w:val="28"/>
                <w:u w:val="single"/>
              </w:rPr>
              <w:t>Expectations of client:</w:t>
            </w:r>
          </w:p>
          <w:p w14:paraId="4AA84FCB" w14:textId="660A49A2" w:rsidR="00C17D90" w:rsidRPr="00644838" w:rsidRDefault="001311E4" w:rsidP="00C17D90">
            <w:pPr>
              <w:rPr>
                <w:rFonts w:cstheme="minorHAnsi"/>
                <w:sz w:val="24"/>
                <w:szCs w:val="28"/>
              </w:rPr>
            </w:pPr>
            <w:r>
              <w:rPr>
                <w:rFonts w:cstheme="minorHAnsi"/>
                <w:sz w:val="24"/>
                <w:szCs w:val="28"/>
              </w:rPr>
              <w:t xml:space="preserve">Residents are involved in their support planning with the Health </w:t>
            </w:r>
            <w:proofErr w:type="gramStart"/>
            <w:r>
              <w:rPr>
                <w:rFonts w:cstheme="minorHAnsi"/>
                <w:sz w:val="24"/>
                <w:szCs w:val="28"/>
              </w:rPr>
              <w:t>Navigator</w:t>
            </w:r>
            <w:proofErr w:type="gramEnd"/>
            <w:r>
              <w:rPr>
                <w:rFonts w:cstheme="minorHAnsi"/>
                <w:sz w:val="24"/>
                <w:szCs w:val="28"/>
              </w:rPr>
              <w:t xml:space="preserve"> and it is expected that this is reviewed weekly. It is expected that they see the Nurse</w:t>
            </w:r>
            <w:r w:rsidR="008F1826">
              <w:rPr>
                <w:rFonts w:cstheme="minorHAnsi"/>
                <w:sz w:val="24"/>
                <w:szCs w:val="28"/>
              </w:rPr>
              <w:t xml:space="preserve"> weekly also on her visits to the hostel. </w:t>
            </w:r>
          </w:p>
        </w:tc>
      </w:tr>
      <w:tr w:rsidR="00C17D90" w:rsidRPr="00644838" w14:paraId="7EC6B395" w14:textId="77777777" w:rsidTr="00C17D90">
        <w:tc>
          <w:tcPr>
            <w:tcW w:w="10173" w:type="dxa"/>
            <w:gridSpan w:val="2"/>
          </w:tcPr>
          <w:p w14:paraId="37B4E29D" w14:textId="77777777" w:rsidR="00C17D90" w:rsidRPr="00644838" w:rsidRDefault="00C17D90" w:rsidP="00C17D90">
            <w:pPr>
              <w:rPr>
                <w:rFonts w:cstheme="minorHAnsi"/>
                <w:b/>
                <w:sz w:val="24"/>
                <w:szCs w:val="28"/>
                <w:u w:val="single"/>
              </w:rPr>
            </w:pPr>
            <w:r w:rsidRPr="00644838">
              <w:rPr>
                <w:rFonts w:cstheme="minorHAnsi"/>
                <w:b/>
                <w:sz w:val="24"/>
                <w:szCs w:val="28"/>
                <w:u w:val="single"/>
              </w:rPr>
              <w:t>Move-on pathway expectations:</w:t>
            </w:r>
          </w:p>
          <w:p w14:paraId="41CA08F7" w14:textId="4EBEB3D9" w:rsidR="00C17D90" w:rsidRPr="00644838" w:rsidRDefault="00F87889" w:rsidP="00C17D90">
            <w:pPr>
              <w:rPr>
                <w:rFonts w:cstheme="minorHAnsi"/>
                <w:sz w:val="24"/>
                <w:szCs w:val="28"/>
                <w:u w:val="single"/>
              </w:rPr>
            </w:pPr>
            <w:r w:rsidRPr="00644838">
              <w:rPr>
                <w:rFonts w:cstheme="minorHAnsi"/>
                <w:sz w:val="24"/>
                <w:szCs w:val="28"/>
              </w:rPr>
              <w:t xml:space="preserve">All </w:t>
            </w:r>
            <w:r w:rsidR="00644838" w:rsidRPr="00644838">
              <w:rPr>
                <w:rFonts w:cstheme="minorHAnsi"/>
                <w:sz w:val="24"/>
                <w:szCs w:val="28"/>
              </w:rPr>
              <w:t>residents</w:t>
            </w:r>
            <w:r w:rsidRPr="00644838">
              <w:rPr>
                <w:rFonts w:cstheme="minorHAnsi"/>
                <w:sz w:val="24"/>
                <w:szCs w:val="28"/>
              </w:rPr>
              <w:t xml:space="preserve"> will be </w:t>
            </w:r>
            <w:r w:rsidR="00644838" w:rsidRPr="00644838">
              <w:rPr>
                <w:rFonts w:cstheme="minorHAnsi"/>
                <w:sz w:val="24"/>
                <w:szCs w:val="28"/>
              </w:rPr>
              <w:t>expected</w:t>
            </w:r>
            <w:r w:rsidRPr="00644838">
              <w:rPr>
                <w:rFonts w:cstheme="minorHAnsi"/>
                <w:sz w:val="24"/>
                <w:szCs w:val="28"/>
              </w:rPr>
              <w:t xml:space="preserve"> to engage with </w:t>
            </w:r>
            <w:r w:rsidR="00644838" w:rsidRPr="00644838">
              <w:rPr>
                <w:rFonts w:cstheme="minorHAnsi"/>
                <w:sz w:val="24"/>
                <w:szCs w:val="28"/>
              </w:rPr>
              <w:t>identified</w:t>
            </w:r>
            <w:r w:rsidRPr="00644838">
              <w:rPr>
                <w:rFonts w:cstheme="minorHAnsi"/>
                <w:sz w:val="24"/>
                <w:szCs w:val="28"/>
              </w:rPr>
              <w:t xml:space="preserve"> support to </w:t>
            </w:r>
            <w:r w:rsidR="00644838">
              <w:rPr>
                <w:rFonts w:cstheme="minorHAnsi"/>
                <w:sz w:val="24"/>
                <w:szCs w:val="28"/>
              </w:rPr>
              <w:t>enable</w:t>
            </w:r>
            <w:r w:rsidRPr="00644838">
              <w:rPr>
                <w:rFonts w:cstheme="minorHAnsi"/>
                <w:sz w:val="24"/>
                <w:szCs w:val="28"/>
              </w:rPr>
              <w:t xml:space="preserve"> them to</w:t>
            </w:r>
            <w:r w:rsidR="00644838">
              <w:rPr>
                <w:rFonts w:cstheme="minorHAnsi"/>
                <w:sz w:val="24"/>
                <w:szCs w:val="28"/>
              </w:rPr>
              <w:t xml:space="preserve"> successfully </w:t>
            </w:r>
            <w:r w:rsidR="00644838" w:rsidRPr="00644838">
              <w:rPr>
                <w:rFonts w:cstheme="minorHAnsi"/>
                <w:sz w:val="24"/>
                <w:szCs w:val="28"/>
              </w:rPr>
              <w:t>move</w:t>
            </w:r>
            <w:r w:rsidRPr="00644838">
              <w:rPr>
                <w:rFonts w:cstheme="minorHAnsi"/>
                <w:sz w:val="24"/>
                <w:szCs w:val="28"/>
              </w:rPr>
              <w:t xml:space="preserve"> out of </w:t>
            </w:r>
            <w:r w:rsidR="00CF14F5">
              <w:rPr>
                <w:rFonts w:cstheme="minorHAnsi"/>
                <w:sz w:val="24"/>
                <w:szCs w:val="28"/>
              </w:rPr>
              <w:t>The Marylebone Project successfully, and not return to the streets</w:t>
            </w:r>
            <w:r w:rsidR="00644838">
              <w:rPr>
                <w:rFonts w:cstheme="minorHAnsi"/>
                <w:sz w:val="24"/>
                <w:szCs w:val="28"/>
              </w:rPr>
              <w:t xml:space="preserve">. </w:t>
            </w:r>
            <w:r w:rsidR="008F1826">
              <w:rPr>
                <w:rFonts w:cstheme="minorHAnsi"/>
                <w:sz w:val="24"/>
                <w:szCs w:val="28"/>
              </w:rPr>
              <w:t xml:space="preserve"> Though move on accommodation is looked for, this cannot always be guaranteed. It is the role of the referrer to work with the Health Navigator to look for suitable move on accommodation. </w:t>
            </w:r>
            <w:r w:rsidR="008F1826" w:rsidRPr="00644838">
              <w:rPr>
                <w:rFonts w:cstheme="minorHAnsi"/>
                <w:sz w:val="24"/>
                <w:szCs w:val="28"/>
              </w:rPr>
              <w:t xml:space="preserve"> </w:t>
            </w:r>
          </w:p>
        </w:tc>
      </w:tr>
    </w:tbl>
    <w:p w14:paraId="27E462C0" w14:textId="77777777" w:rsidR="00567A99" w:rsidRPr="00644838" w:rsidRDefault="00567A99">
      <w:pPr>
        <w:rPr>
          <w:rFonts w:cstheme="minorHAnsi"/>
        </w:rPr>
      </w:pPr>
    </w:p>
    <w:sectPr w:rsidR="00567A99" w:rsidRPr="00644838" w:rsidSect="00C17D90">
      <w:headerReference w:type="default" r:id="rId11"/>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9A41B" w14:textId="77777777" w:rsidR="00802E35" w:rsidRDefault="00802E35" w:rsidP="00567A99">
      <w:pPr>
        <w:spacing w:after="0" w:line="240" w:lineRule="auto"/>
      </w:pPr>
      <w:r>
        <w:separator/>
      </w:r>
    </w:p>
  </w:endnote>
  <w:endnote w:type="continuationSeparator" w:id="0">
    <w:p w14:paraId="2E7F8299" w14:textId="77777777" w:rsidR="00802E35" w:rsidRDefault="00802E35" w:rsidP="0056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77723" w14:textId="77777777" w:rsidR="00802E35" w:rsidRDefault="00802E35" w:rsidP="00567A99">
      <w:pPr>
        <w:spacing w:after="0" w:line="240" w:lineRule="auto"/>
      </w:pPr>
      <w:r>
        <w:separator/>
      </w:r>
    </w:p>
  </w:footnote>
  <w:footnote w:type="continuationSeparator" w:id="0">
    <w:p w14:paraId="6A41478E" w14:textId="77777777" w:rsidR="00802E35" w:rsidRDefault="00802E35" w:rsidP="0056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852C3" w14:textId="47A365BE" w:rsidR="00B74E14" w:rsidRDefault="0079262A">
    <w:pPr>
      <w:pStyle w:val="Header"/>
    </w:pPr>
    <w:r>
      <w:t>09/2024</w:t>
    </w:r>
  </w:p>
  <w:p w14:paraId="7F3BBDCE" w14:textId="77777777" w:rsidR="00B74E14" w:rsidRDefault="00B74E14">
    <w:pPr>
      <w:pStyle w:val="Header"/>
    </w:pPr>
  </w:p>
  <w:p w14:paraId="31ED862B" w14:textId="77777777" w:rsidR="00B74E14" w:rsidRDefault="00B7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4CB"/>
    <w:multiLevelType w:val="hybridMultilevel"/>
    <w:tmpl w:val="FEAE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73A8E"/>
    <w:multiLevelType w:val="hybridMultilevel"/>
    <w:tmpl w:val="4B52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516CA"/>
    <w:multiLevelType w:val="multilevel"/>
    <w:tmpl w:val="E4A6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80B99"/>
    <w:multiLevelType w:val="multilevel"/>
    <w:tmpl w:val="5260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82561"/>
    <w:multiLevelType w:val="multilevel"/>
    <w:tmpl w:val="6DB6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343589">
    <w:abstractNumId w:val="0"/>
  </w:num>
  <w:num w:numId="2" w16cid:durableId="416177713">
    <w:abstractNumId w:val="3"/>
  </w:num>
  <w:num w:numId="3" w16cid:durableId="1688797512">
    <w:abstractNumId w:val="2"/>
  </w:num>
  <w:num w:numId="4" w16cid:durableId="1527213054">
    <w:abstractNumId w:val="4"/>
  </w:num>
  <w:num w:numId="5" w16cid:durableId="66474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99"/>
    <w:rsid w:val="00012009"/>
    <w:rsid w:val="00031A5E"/>
    <w:rsid w:val="000438B5"/>
    <w:rsid w:val="0007353A"/>
    <w:rsid w:val="00103D49"/>
    <w:rsid w:val="00112CC3"/>
    <w:rsid w:val="001311E4"/>
    <w:rsid w:val="001708C2"/>
    <w:rsid w:val="00175E10"/>
    <w:rsid w:val="00255D86"/>
    <w:rsid w:val="002943E3"/>
    <w:rsid w:val="002C55F0"/>
    <w:rsid w:val="002E2A66"/>
    <w:rsid w:val="002F227F"/>
    <w:rsid w:val="003238B8"/>
    <w:rsid w:val="003950B3"/>
    <w:rsid w:val="004074DF"/>
    <w:rsid w:val="00456C68"/>
    <w:rsid w:val="00480D2F"/>
    <w:rsid w:val="00482061"/>
    <w:rsid w:val="00485363"/>
    <w:rsid w:val="004A35E0"/>
    <w:rsid w:val="004B530F"/>
    <w:rsid w:val="00531D9F"/>
    <w:rsid w:val="005501EB"/>
    <w:rsid w:val="00563A2D"/>
    <w:rsid w:val="00567A99"/>
    <w:rsid w:val="005A2392"/>
    <w:rsid w:val="005F47AE"/>
    <w:rsid w:val="006433CC"/>
    <w:rsid w:val="00643939"/>
    <w:rsid w:val="00643BDF"/>
    <w:rsid w:val="00644838"/>
    <w:rsid w:val="0068579C"/>
    <w:rsid w:val="006B3953"/>
    <w:rsid w:val="00703FFE"/>
    <w:rsid w:val="0079262A"/>
    <w:rsid w:val="007D76DD"/>
    <w:rsid w:val="007F761A"/>
    <w:rsid w:val="00802E35"/>
    <w:rsid w:val="008455D0"/>
    <w:rsid w:val="00865FEB"/>
    <w:rsid w:val="00876264"/>
    <w:rsid w:val="008E241B"/>
    <w:rsid w:val="008F1826"/>
    <w:rsid w:val="00913C44"/>
    <w:rsid w:val="00972987"/>
    <w:rsid w:val="00973EA4"/>
    <w:rsid w:val="009B3226"/>
    <w:rsid w:val="009C0AED"/>
    <w:rsid w:val="009C25E4"/>
    <w:rsid w:val="00A32A21"/>
    <w:rsid w:val="00A57FD5"/>
    <w:rsid w:val="00A97CB8"/>
    <w:rsid w:val="00AA227A"/>
    <w:rsid w:val="00B01E9C"/>
    <w:rsid w:val="00B05A8F"/>
    <w:rsid w:val="00B67558"/>
    <w:rsid w:val="00B74E14"/>
    <w:rsid w:val="00BA2368"/>
    <w:rsid w:val="00BC7012"/>
    <w:rsid w:val="00C02790"/>
    <w:rsid w:val="00C17D90"/>
    <w:rsid w:val="00C35DC8"/>
    <w:rsid w:val="00C369F2"/>
    <w:rsid w:val="00C50C8C"/>
    <w:rsid w:val="00C530EC"/>
    <w:rsid w:val="00C56366"/>
    <w:rsid w:val="00C675EE"/>
    <w:rsid w:val="00CC51B7"/>
    <w:rsid w:val="00CF14F5"/>
    <w:rsid w:val="00D01610"/>
    <w:rsid w:val="00D05B1F"/>
    <w:rsid w:val="00D4160B"/>
    <w:rsid w:val="00DA3F23"/>
    <w:rsid w:val="00DF4C10"/>
    <w:rsid w:val="00E34C3E"/>
    <w:rsid w:val="00E3512F"/>
    <w:rsid w:val="00E66AF9"/>
    <w:rsid w:val="00E85E06"/>
    <w:rsid w:val="00EA330E"/>
    <w:rsid w:val="00EF3F16"/>
    <w:rsid w:val="00F0720F"/>
    <w:rsid w:val="00F354EF"/>
    <w:rsid w:val="00F87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0B6E"/>
  <w15:docId w15:val="{912ECC76-DA2B-41B2-A51B-E1A40363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A99"/>
  </w:style>
  <w:style w:type="paragraph" w:styleId="Footer">
    <w:name w:val="footer"/>
    <w:basedOn w:val="Normal"/>
    <w:link w:val="FooterChar"/>
    <w:uiPriority w:val="99"/>
    <w:unhideWhenUsed/>
    <w:rsid w:val="00567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A99"/>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hAnsi="Segoe UI" w:cs="Segoe UI"/>
      <w:sz w:val="18"/>
      <w:szCs w:val="18"/>
    </w:rPr>
  </w:style>
  <w:style w:type="paragraph" w:styleId="ListParagraph">
    <w:name w:val="List Paragraph"/>
    <w:basedOn w:val="Normal"/>
    <w:uiPriority w:val="34"/>
    <w:qFormat/>
    <w:rsid w:val="00D01610"/>
    <w:pPr>
      <w:ind w:left="720"/>
      <w:contextualSpacing/>
    </w:pPr>
  </w:style>
  <w:style w:type="character" w:styleId="Hyperlink">
    <w:name w:val="Hyperlink"/>
    <w:basedOn w:val="DefaultParagraphFont"/>
    <w:uiPriority w:val="99"/>
    <w:unhideWhenUsed/>
    <w:rsid w:val="00485363"/>
    <w:rPr>
      <w:color w:val="0000FF" w:themeColor="hyperlink"/>
      <w:u w:val="single"/>
    </w:rPr>
  </w:style>
  <w:style w:type="character" w:styleId="UnresolvedMention">
    <w:name w:val="Unresolved Mention"/>
    <w:basedOn w:val="DefaultParagraphFont"/>
    <w:uiPriority w:val="99"/>
    <w:semiHidden/>
    <w:unhideWhenUsed/>
    <w:rsid w:val="00112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29878">
      <w:bodyDiv w:val="1"/>
      <w:marLeft w:val="0"/>
      <w:marRight w:val="0"/>
      <w:marTop w:val="0"/>
      <w:marBottom w:val="0"/>
      <w:divBdr>
        <w:top w:val="none" w:sz="0" w:space="0" w:color="auto"/>
        <w:left w:val="none" w:sz="0" w:space="0" w:color="auto"/>
        <w:bottom w:val="none" w:sz="0" w:space="0" w:color="auto"/>
        <w:right w:val="none" w:sz="0" w:space="0" w:color="auto"/>
      </w:divBdr>
    </w:div>
    <w:div w:id="538786547">
      <w:bodyDiv w:val="1"/>
      <w:marLeft w:val="0"/>
      <w:marRight w:val="0"/>
      <w:marTop w:val="0"/>
      <w:marBottom w:val="0"/>
      <w:divBdr>
        <w:top w:val="none" w:sz="0" w:space="0" w:color="auto"/>
        <w:left w:val="none" w:sz="0" w:space="0" w:color="auto"/>
        <w:bottom w:val="none" w:sz="0" w:space="0" w:color="auto"/>
        <w:right w:val="none" w:sz="0" w:space="0" w:color="auto"/>
      </w:divBdr>
    </w:div>
    <w:div w:id="750129246">
      <w:bodyDiv w:val="1"/>
      <w:marLeft w:val="0"/>
      <w:marRight w:val="0"/>
      <w:marTop w:val="0"/>
      <w:marBottom w:val="0"/>
      <w:divBdr>
        <w:top w:val="none" w:sz="0" w:space="0" w:color="auto"/>
        <w:left w:val="none" w:sz="0" w:space="0" w:color="auto"/>
        <w:bottom w:val="none" w:sz="0" w:space="0" w:color="auto"/>
        <w:right w:val="none" w:sz="0" w:space="0" w:color="auto"/>
      </w:divBdr>
    </w:div>
    <w:div w:id="1106848509">
      <w:bodyDiv w:val="1"/>
      <w:marLeft w:val="0"/>
      <w:marRight w:val="0"/>
      <w:marTop w:val="0"/>
      <w:marBottom w:val="0"/>
      <w:divBdr>
        <w:top w:val="none" w:sz="0" w:space="0" w:color="auto"/>
        <w:left w:val="none" w:sz="0" w:space="0" w:color="auto"/>
        <w:bottom w:val="none" w:sz="0" w:space="0" w:color="auto"/>
        <w:right w:val="none" w:sz="0" w:space="0" w:color="auto"/>
      </w:divBdr>
    </w:div>
    <w:div w:id="1729452648">
      <w:bodyDiv w:val="1"/>
      <w:marLeft w:val="0"/>
      <w:marRight w:val="0"/>
      <w:marTop w:val="0"/>
      <w:marBottom w:val="0"/>
      <w:divBdr>
        <w:top w:val="none" w:sz="0" w:space="0" w:color="auto"/>
        <w:left w:val="none" w:sz="0" w:space="0" w:color="auto"/>
        <w:bottom w:val="none" w:sz="0" w:space="0" w:color="auto"/>
        <w:right w:val="none" w:sz="0" w:space="0" w:color="auto"/>
      </w:divBdr>
    </w:div>
    <w:div w:id="185965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AnnaMidgley\AppData\Local\Microsoft\Windows\INetCache\Content.Outlook\KPSU659R\forms.office.com\e\aY9ULV042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066D6CF095848AD5541D900D97AF5" ma:contentTypeVersion="12" ma:contentTypeDescription="Create a new document." ma:contentTypeScope="" ma:versionID="8539bd39628ac2a7f42ec5da9de6c245">
  <xsd:schema xmlns:xsd="http://www.w3.org/2001/XMLSchema" xmlns:xs="http://www.w3.org/2001/XMLSchema" xmlns:p="http://schemas.microsoft.com/office/2006/metadata/properties" xmlns:ns2="2c0c193b-4d3d-4f3d-854e-39105ad0bbd0" xmlns:ns3="d44609ee-d099-49db-a640-0f1e473af6e3" targetNamespace="http://schemas.microsoft.com/office/2006/metadata/properties" ma:root="true" ma:fieldsID="3189cc70666de068411cadfe13c6c55a" ns2:_="" ns3:_="">
    <xsd:import namespace="2c0c193b-4d3d-4f3d-854e-39105ad0bbd0"/>
    <xsd:import namespace="d44609ee-d099-49db-a640-0f1e473af6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c193b-4d3d-4f3d-854e-39105ad0b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609ee-d099-49db-a640-0f1e473af6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E1E4B-6217-4AB8-957C-5B14327F7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c193b-4d3d-4f3d-854e-39105ad0bbd0"/>
    <ds:schemaRef ds:uri="d44609ee-d099-49db-a640-0f1e473af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94FCF-620D-4E47-8856-A7322973AEDF}">
  <ds:schemaRefs>
    <ds:schemaRef ds:uri="http://schemas.microsoft.com/office/2006/metadata/properties"/>
    <ds:schemaRef ds:uri="d44609ee-d099-49db-a640-0f1e473af6e3"/>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2c0c193b-4d3d-4f3d-854e-39105ad0bbd0"/>
    <ds:schemaRef ds:uri="http://www.w3.org/XML/1998/namespace"/>
  </ds:schemaRefs>
</ds:datastoreItem>
</file>

<file path=customXml/itemProps3.xml><?xml version="1.0" encoding="utf-8"?>
<ds:datastoreItem xmlns:ds="http://schemas.openxmlformats.org/officeDocument/2006/customXml" ds:itemID="{4673F763-D634-479A-B945-FB4CCA0ED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Gallou, Elizabeth</dc:creator>
  <cp:lastModifiedBy>Anna Midgley</cp:lastModifiedBy>
  <cp:revision>2</cp:revision>
  <cp:lastPrinted>2017-02-20T15:57:00Z</cp:lastPrinted>
  <dcterms:created xsi:type="dcterms:W3CDTF">2024-09-26T14:46:00Z</dcterms:created>
  <dcterms:modified xsi:type="dcterms:W3CDTF">2024-09-26T14:46:00Z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0x010100563066D6CF095848AD5541D900D97AF5</vt:lpwstr>
  </property>
</Properties>
</file>