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601" w:tblpY="1081"/>
        <w:tblW w:w="10314" w:type="dxa"/>
        <w:tblLook w:val="04A0" w:firstRow="1" w:lastRow="0" w:firstColumn="1" w:lastColumn="0" w:noHBand="0" w:noVBand="1"/>
      </w:tblPr>
      <w:tblGrid>
        <w:gridCol w:w="4928"/>
        <w:gridCol w:w="5386"/>
      </w:tblGrid>
      <w:tr w:rsidR="0061246B" w:rsidRPr="00A97CB8" w14:paraId="33791AAC" w14:textId="77777777" w:rsidTr="0061246B">
        <w:trPr>
          <w:trHeight w:val="109"/>
        </w:trPr>
        <w:tc>
          <w:tcPr>
            <w:tcW w:w="4928" w:type="dxa"/>
          </w:tcPr>
          <w:p w14:paraId="77487597" w14:textId="2F71102C" w:rsidR="0061246B" w:rsidRPr="00F20BE1" w:rsidRDefault="00CE78A4" w:rsidP="0061246B">
            <w:pPr>
              <w:ind w:left="360"/>
              <w:jc w:val="center"/>
              <w:rPr>
                <w:rFonts w:ascii="Calibri Light" w:hAnsi="Calibri Light" w:cs="Times New Roman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ADD503E" wp14:editId="0E6664E1">
                  <wp:extent cx="1767840" cy="88392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3F95BDBE" w14:textId="77777777" w:rsidR="00CE78A4" w:rsidRDefault="00CE78A4" w:rsidP="0061246B">
            <w:pPr>
              <w:jc w:val="center"/>
              <w:rPr>
                <w:rFonts w:ascii="Calibri Light" w:hAnsi="Calibri Light"/>
                <w:color w:val="000000" w:themeColor="text1"/>
                <w:sz w:val="20"/>
                <w:szCs w:val="20"/>
              </w:rPr>
            </w:pPr>
          </w:p>
          <w:p w14:paraId="31D410D3" w14:textId="32A5932C" w:rsidR="0061246B" w:rsidRDefault="0061246B" w:rsidP="0061246B">
            <w:pPr>
              <w:jc w:val="center"/>
              <w:rPr>
                <w:rFonts w:ascii="Calibri Light" w:hAnsi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/>
                <w:color w:val="000000" w:themeColor="text1"/>
                <w:sz w:val="20"/>
                <w:szCs w:val="20"/>
              </w:rPr>
              <w:t>Referrals:</w:t>
            </w:r>
          </w:p>
          <w:p w14:paraId="421C54EF" w14:textId="77777777" w:rsidR="0061246B" w:rsidRDefault="00AE1603" w:rsidP="0061246B">
            <w:pPr>
              <w:jc w:val="center"/>
              <w:rPr>
                <w:rFonts w:ascii="Calibri Light" w:hAnsi="Calibri Light"/>
                <w:color w:val="000000" w:themeColor="text1"/>
                <w:sz w:val="20"/>
                <w:szCs w:val="20"/>
              </w:rPr>
            </w:pPr>
            <w:hyperlink r:id="rId8" w:history="1">
              <w:r w:rsidRPr="00D0172D">
                <w:rPr>
                  <w:rStyle w:val="Hyperlink"/>
                  <w:rFonts w:ascii="Calibri Light" w:hAnsi="Calibri Light"/>
                  <w:sz w:val="20"/>
                  <w:szCs w:val="20"/>
                </w:rPr>
                <w:t>WHreferrals@wythamhall.co.uk</w:t>
              </w:r>
            </w:hyperlink>
            <w:r>
              <w:rPr>
                <w:rFonts w:ascii="Calibri Light" w:hAnsi="Calibri Light"/>
                <w:color w:val="000000" w:themeColor="text1"/>
                <w:sz w:val="20"/>
                <w:szCs w:val="20"/>
              </w:rPr>
              <w:t xml:space="preserve"> </w:t>
            </w:r>
          </w:p>
          <w:p w14:paraId="4F5B4093" w14:textId="77777777" w:rsidR="00463C20" w:rsidRPr="00463C20" w:rsidRDefault="00463C20" w:rsidP="0061246B">
            <w:pPr>
              <w:jc w:val="center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</w:p>
          <w:p w14:paraId="002883BF" w14:textId="77777777" w:rsidR="00463C20" w:rsidRDefault="00463C20" w:rsidP="0061246B">
            <w:pPr>
              <w:jc w:val="center"/>
              <w:rPr>
                <w:rFonts w:ascii="Calibri Light" w:hAnsi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/>
                <w:color w:val="000000" w:themeColor="text1"/>
                <w:sz w:val="20"/>
                <w:szCs w:val="20"/>
              </w:rPr>
              <w:t>Tel: 020 – 7289 1978</w:t>
            </w:r>
          </w:p>
          <w:p w14:paraId="2F9648F1" w14:textId="150BC8F1" w:rsidR="00463C20" w:rsidRPr="0061246B" w:rsidRDefault="00463C20" w:rsidP="0061246B">
            <w:pPr>
              <w:jc w:val="center"/>
              <w:rPr>
                <w:rFonts w:ascii="Calibri Light" w:hAnsi="Calibri Light"/>
                <w:color w:val="000000" w:themeColor="text1"/>
                <w:sz w:val="20"/>
                <w:szCs w:val="20"/>
              </w:rPr>
            </w:pPr>
          </w:p>
        </w:tc>
      </w:tr>
      <w:tr w:rsidR="00463C20" w:rsidRPr="00463C20" w14:paraId="3EC32B18" w14:textId="77777777" w:rsidTr="0061246B">
        <w:tc>
          <w:tcPr>
            <w:tcW w:w="10314" w:type="dxa"/>
            <w:gridSpan w:val="2"/>
          </w:tcPr>
          <w:p w14:paraId="4800F926" w14:textId="7C53700D" w:rsidR="00C369F2" w:rsidRPr="00463C20" w:rsidRDefault="00C369F2" w:rsidP="00DE6A6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63C20">
              <w:rPr>
                <w:rFonts w:ascii="Arial" w:hAnsi="Arial" w:cs="Arial"/>
                <w:b/>
                <w:sz w:val="20"/>
                <w:szCs w:val="20"/>
                <w:u w:val="single"/>
              </w:rPr>
              <w:t>About the service:</w:t>
            </w:r>
          </w:p>
          <w:p w14:paraId="27FE8DA6" w14:textId="77777777" w:rsidR="00DE6A66" w:rsidRPr="00463C20" w:rsidRDefault="00DE6A66" w:rsidP="00DE6A6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BF0C909" w14:textId="4E4DB0AF" w:rsidR="00277C4B" w:rsidRDefault="003C5C8B" w:rsidP="003C5C8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5C8B">
              <w:rPr>
                <w:rFonts w:ascii="Arial" w:hAnsi="Arial" w:cs="Arial"/>
                <w:sz w:val="20"/>
                <w:szCs w:val="20"/>
              </w:rPr>
              <w:t>Wytham</w:t>
            </w:r>
            <w:proofErr w:type="spellEnd"/>
            <w:r w:rsidRPr="003C5C8B">
              <w:rPr>
                <w:rFonts w:ascii="Arial" w:hAnsi="Arial" w:cs="Arial"/>
                <w:sz w:val="20"/>
                <w:szCs w:val="20"/>
              </w:rPr>
              <w:t xml:space="preserve"> Hall offers accommodation and key worker support to 25 individuals who are experiencing homelessness and have low to medium support needs.</w:t>
            </w:r>
          </w:p>
          <w:p w14:paraId="5821B3E7" w14:textId="0C98C601" w:rsidR="003C5C8B" w:rsidRPr="003C5C8B" w:rsidRDefault="003C5C8B" w:rsidP="003C5C8B">
            <w:pPr>
              <w:rPr>
                <w:rFonts w:ascii="Arial" w:hAnsi="Arial" w:cs="Arial"/>
                <w:sz w:val="20"/>
                <w:szCs w:val="20"/>
              </w:rPr>
            </w:pPr>
            <w:r w:rsidRPr="003C5C8B">
              <w:rPr>
                <w:rFonts w:ascii="Arial" w:hAnsi="Arial" w:cs="Arial"/>
                <w:sz w:val="20"/>
                <w:szCs w:val="20"/>
              </w:rPr>
              <w:br/>
              <w:t xml:space="preserve">Residents are housed across four properties in Maida Vale, all located within a short walking distance of the main </w:t>
            </w:r>
            <w:proofErr w:type="spellStart"/>
            <w:r w:rsidRPr="003C5C8B">
              <w:rPr>
                <w:rFonts w:ascii="Arial" w:hAnsi="Arial" w:cs="Arial"/>
                <w:sz w:val="20"/>
                <w:szCs w:val="20"/>
              </w:rPr>
              <w:t>Wytham</w:t>
            </w:r>
            <w:proofErr w:type="spellEnd"/>
            <w:r w:rsidRPr="003C5C8B">
              <w:rPr>
                <w:rFonts w:ascii="Arial" w:hAnsi="Arial" w:cs="Arial"/>
                <w:sz w:val="20"/>
                <w:szCs w:val="20"/>
              </w:rPr>
              <w:t xml:space="preserve"> Hall office, where a dedicated support team of four staff members is based.</w:t>
            </w:r>
          </w:p>
          <w:p w14:paraId="1FFF9430" w14:textId="77777777" w:rsidR="003C5C8B" w:rsidRPr="003C5C8B" w:rsidRDefault="003C5C8B" w:rsidP="003C5C8B">
            <w:pPr>
              <w:rPr>
                <w:rFonts w:ascii="Arial" w:hAnsi="Arial" w:cs="Arial"/>
                <w:sz w:val="20"/>
                <w:szCs w:val="20"/>
              </w:rPr>
            </w:pPr>
            <w:r w:rsidRPr="003C5C8B">
              <w:rPr>
                <w:rFonts w:ascii="Arial" w:hAnsi="Arial" w:cs="Arial"/>
                <w:sz w:val="20"/>
                <w:szCs w:val="20"/>
              </w:rPr>
              <w:t>Key features of the accommodation include:</w:t>
            </w:r>
          </w:p>
          <w:p w14:paraId="2AE4C52A" w14:textId="77777777" w:rsidR="003C5C8B" w:rsidRPr="003C5C8B" w:rsidRDefault="003C5C8B" w:rsidP="003C5C8B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C5C8B">
              <w:rPr>
                <w:rFonts w:ascii="Arial" w:hAnsi="Arial" w:cs="Arial"/>
                <w:sz w:val="20"/>
                <w:szCs w:val="20"/>
              </w:rPr>
              <w:t>Residents are responsible for their own meals.</w:t>
            </w:r>
          </w:p>
          <w:p w14:paraId="256C99ED" w14:textId="77777777" w:rsidR="003C5C8B" w:rsidRPr="003C5C8B" w:rsidRDefault="003C5C8B" w:rsidP="003C5C8B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C5C8B">
              <w:rPr>
                <w:rFonts w:ascii="Arial" w:hAnsi="Arial" w:cs="Arial"/>
                <w:sz w:val="20"/>
                <w:szCs w:val="20"/>
              </w:rPr>
              <w:t>They have 24-hour access to their accommodation and may receive visitors during designated hours; however, overnight guests are not permitted.</w:t>
            </w:r>
          </w:p>
          <w:p w14:paraId="5259DF61" w14:textId="77777777" w:rsidR="003C5C8B" w:rsidRPr="003C5C8B" w:rsidRDefault="003C5C8B" w:rsidP="003C5C8B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C5C8B">
              <w:rPr>
                <w:rFonts w:ascii="Arial" w:hAnsi="Arial" w:cs="Arial"/>
                <w:sz w:val="20"/>
                <w:szCs w:val="20"/>
              </w:rPr>
              <w:t>Pets are not allowed under the terms of the licence.</w:t>
            </w:r>
          </w:p>
          <w:p w14:paraId="5CDB749D" w14:textId="77777777" w:rsidR="003C5C8B" w:rsidRPr="003C5C8B" w:rsidRDefault="003C5C8B" w:rsidP="003C5C8B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C5C8B">
              <w:rPr>
                <w:rFonts w:ascii="Arial" w:hAnsi="Arial" w:cs="Arial"/>
                <w:sz w:val="20"/>
                <w:szCs w:val="20"/>
              </w:rPr>
              <w:t>A small weekly Service Charge is required from each resident.</w:t>
            </w:r>
          </w:p>
          <w:p w14:paraId="63C12D5D" w14:textId="04F63822" w:rsidR="00E40A06" w:rsidRPr="00463C20" w:rsidRDefault="00E40A06" w:rsidP="006F1C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E9802A" w14:textId="49483EEF" w:rsidR="006F1C3F" w:rsidRPr="00463C20" w:rsidRDefault="00E40A06" w:rsidP="00DE6A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3C20">
              <w:rPr>
                <w:rFonts w:ascii="Arial" w:hAnsi="Arial" w:cs="Arial"/>
                <w:sz w:val="20"/>
                <w:szCs w:val="20"/>
              </w:rPr>
              <w:t>N.B.</w:t>
            </w:r>
            <w:r w:rsidR="00CB49A7">
              <w:rPr>
                <w:rFonts w:ascii="Arial" w:hAnsi="Arial" w:cs="Arial"/>
                <w:sz w:val="20"/>
                <w:szCs w:val="20"/>
              </w:rPr>
              <w:t>N</w:t>
            </w:r>
            <w:r w:rsidRPr="00463C20">
              <w:rPr>
                <w:rFonts w:ascii="Arial" w:hAnsi="Arial" w:cs="Arial"/>
                <w:sz w:val="20"/>
                <w:szCs w:val="20"/>
              </w:rPr>
              <w:t>one</w:t>
            </w:r>
            <w:proofErr w:type="spellEnd"/>
            <w:r w:rsidRPr="00463C20">
              <w:rPr>
                <w:rFonts w:ascii="Arial" w:hAnsi="Arial" w:cs="Arial"/>
                <w:sz w:val="20"/>
                <w:szCs w:val="20"/>
              </w:rPr>
              <w:t xml:space="preserve"> of our accommodation has disabled access.</w:t>
            </w:r>
          </w:p>
          <w:p w14:paraId="37B53BC8" w14:textId="71BE8B0E" w:rsidR="00DE6A66" w:rsidRPr="00463C20" w:rsidRDefault="00DE6A66" w:rsidP="00DE6A6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63C20" w:rsidRPr="00463C20" w14:paraId="30B40E74" w14:textId="77777777" w:rsidTr="0061246B">
        <w:tc>
          <w:tcPr>
            <w:tcW w:w="10314" w:type="dxa"/>
            <w:gridSpan w:val="2"/>
          </w:tcPr>
          <w:p w14:paraId="7C37F0FA" w14:textId="15F53F39" w:rsidR="00B15814" w:rsidRPr="00463C20" w:rsidRDefault="00C369F2" w:rsidP="00B1581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63C20">
              <w:rPr>
                <w:rFonts w:ascii="Arial" w:hAnsi="Arial" w:cs="Arial"/>
                <w:b/>
                <w:sz w:val="20"/>
                <w:szCs w:val="20"/>
                <w:u w:val="single"/>
              </w:rPr>
              <w:t>Client criteria:</w:t>
            </w:r>
          </w:p>
          <w:p w14:paraId="4B4BF34E" w14:textId="77777777" w:rsidR="00B15814" w:rsidRPr="00463C20" w:rsidRDefault="00B15814" w:rsidP="00B158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C0D0E4" w14:textId="3FE6C8D5" w:rsidR="00B15814" w:rsidRDefault="003C5C8B" w:rsidP="00B15814">
            <w:pPr>
              <w:rPr>
                <w:rFonts w:ascii="Arial" w:hAnsi="Arial" w:cs="Arial"/>
                <w:sz w:val="20"/>
                <w:szCs w:val="20"/>
              </w:rPr>
            </w:pPr>
            <w:r w:rsidRPr="003C5C8B">
              <w:rPr>
                <w:rFonts w:ascii="Arial" w:hAnsi="Arial" w:cs="Arial"/>
                <w:sz w:val="20"/>
                <w:szCs w:val="20"/>
              </w:rPr>
              <w:t>The service is available to men and women aged 18 and over</w:t>
            </w:r>
            <w:r w:rsidR="00CB49A7">
              <w:rPr>
                <w:rFonts w:ascii="Arial" w:hAnsi="Arial" w:cs="Arial"/>
                <w:sz w:val="20"/>
                <w:szCs w:val="20"/>
              </w:rPr>
              <w:t>,</w:t>
            </w:r>
            <w:r w:rsidRPr="003C5C8B">
              <w:rPr>
                <w:rFonts w:ascii="Arial" w:hAnsi="Arial" w:cs="Arial"/>
                <w:sz w:val="20"/>
                <w:szCs w:val="20"/>
              </w:rPr>
              <w:t xml:space="preserve"> who </w:t>
            </w:r>
            <w:r w:rsidR="003B26D1">
              <w:rPr>
                <w:rFonts w:ascii="Arial" w:hAnsi="Arial" w:cs="Arial"/>
                <w:sz w:val="20"/>
                <w:szCs w:val="20"/>
              </w:rPr>
              <w:t xml:space="preserve">require </w:t>
            </w:r>
            <w:r w:rsidRPr="003C5C8B">
              <w:rPr>
                <w:rFonts w:ascii="Arial" w:hAnsi="Arial" w:cs="Arial"/>
                <w:sz w:val="20"/>
                <w:szCs w:val="20"/>
              </w:rPr>
              <w:t>support and</w:t>
            </w:r>
            <w:r w:rsidR="00CB49A7">
              <w:rPr>
                <w:rFonts w:ascii="Arial" w:hAnsi="Arial" w:cs="Arial"/>
                <w:sz w:val="20"/>
                <w:szCs w:val="20"/>
              </w:rPr>
              <w:t xml:space="preserve"> are </w:t>
            </w:r>
            <w:r w:rsidRPr="003C5C8B">
              <w:rPr>
                <w:rFonts w:ascii="Arial" w:hAnsi="Arial" w:cs="Arial"/>
                <w:sz w:val="20"/>
                <w:szCs w:val="20"/>
              </w:rPr>
              <w:t xml:space="preserve"> willing to engage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C5C8B">
              <w:rPr>
                <w:rFonts w:ascii="Arial" w:hAnsi="Arial" w:cs="Arial"/>
                <w:sz w:val="20"/>
                <w:szCs w:val="20"/>
              </w:rPr>
              <w:t xml:space="preserve">Residents must be capable of living independently and open to receiving support, whether delivered by </w:t>
            </w:r>
            <w:proofErr w:type="spellStart"/>
            <w:r w:rsidRPr="003C5C8B">
              <w:rPr>
                <w:rFonts w:ascii="Arial" w:hAnsi="Arial" w:cs="Arial"/>
                <w:sz w:val="20"/>
                <w:szCs w:val="20"/>
              </w:rPr>
              <w:t>Wytham</w:t>
            </w:r>
            <w:proofErr w:type="spellEnd"/>
            <w:r w:rsidRPr="003C5C8B">
              <w:rPr>
                <w:rFonts w:ascii="Arial" w:hAnsi="Arial" w:cs="Arial"/>
                <w:sz w:val="20"/>
                <w:szCs w:val="20"/>
              </w:rPr>
              <w:t xml:space="preserve"> Hall’s internal team or through external services.</w:t>
            </w:r>
          </w:p>
          <w:p w14:paraId="7CD5B5C9" w14:textId="77777777" w:rsidR="003C5C8B" w:rsidRPr="003C5C8B" w:rsidRDefault="003C5C8B" w:rsidP="00B158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AACAD0" w14:textId="004431EF" w:rsidR="003B26D1" w:rsidRPr="003B26D1" w:rsidRDefault="003B26D1" w:rsidP="00B15814">
            <w:pPr>
              <w:rPr>
                <w:rFonts w:ascii="Arial" w:hAnsi="Arial" w:cs="Arial"/>
                <w:sz w:val="20"/>
                <w:szCs w:val="20"/>
              </w:rPr>
            </w:pPr>
            <w:r w:rsidRPr="003B26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B26D1">
              <w:rPr>
                <w:rFonts w:ascii="Arial" w:hAnsi="Arial" w:cs="Arial"/>
                <w:sz w:val="20"/>
                <w:szCs w:val="20"/>
              </w:rPr>
              <w:t>We are an</w:t>
            </w:r>
            <w:r w:rsidRPr="003B26D1">
              <w:t xml:space="preserve"> </w:t>
            </w:r>
            <w:r w:rsidRPr="003B26D1">
              <w:rPr>
                <w:rFonts w:ascii="Arial" w:hAnsi="Arial" w:cs="Arial"/>
                <w:sz w:val="20"/>
                <w:szCs w:val="20"/>
              </w:rPr>
              <w:t xml:space="preserve">abstinent supported housing </w:t>
            </w:r>
            <w:proofErr w:type="gramStart"/>
            <w:r w:rsidRPr="003B26D1">
              <w:rPr>
                <w:rFonts w:ascii="Arial" w:hAnsi="Arial" w:cs="Arial"/>
                <w:sz w:val="20"/>
                <w:szCs w:val="20"/>
              </w:rPr>
              <w:t>service</w:t>
            </w:r>
            <w:proofErr w:type="gramEnd"/>
            <w:r w:rsidR="00CB49A7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3B26D1">
              <w:rPr>
                <w:rFonts w:ascii="Arial" w:hAnsi="Arial" w:cs="Arial"/>
                <w:sz w:val="20"/>
                <w:szCs w:val="20"/>
              </w:rPr>
              <w:t xml:space="preserve"> we take great care when considering new residents</w:t>
            </w:r>
            <w:r w:rsidR="00CB49A7">
              <w:rPr>
                <w:rFonts w:ascii="Arial" w:hAnsi="Arial" w:cs="Arial"/>
                <w:sz w:val="20"/>
                <w:szCs w:val="20"/>
              </w:rPr>
              <w:t>.</w:t>
            </w:r>
            <w:r w:rsidR="00277C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49A7">
              <w:rPr>
                <w:rFonts w:ascii="Arial" w:hAnsi="Arial" w:cs="Arial"/>
                <w:sz w:val="20"/>
                <w:szCs w:val="20"/>
              </w:rPr>
              <w:t>T</w:t>
            </w:r>
            <w:r w:rsidRPr="003B26D1">
              <w:rPr>
                <w:rFonts w:ascii="Arial" w:hAnsi="Arial" w:cs="Arial"/>
                <w:sz w:val="20"/>
                <w:szCs w:val="20"/>
              </w:rPr>
              <w:t>his is to ensure the stability and wellbeing of the existing clients, and to maintain an environment that supports individuals in their commitment to abstinence.</w:t>
            </w:r>
          </w:p>
          <w:p w14:paraId="2379B134" w14:textId="77777777" w:rsidR="00B15814" w:rsidRPr="00463C20" w:rsidRDefault="00B15814" w:rsidP="00B158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010F48" w14:textId="178E9FA3" w:rsidR="00B15814" w:rsidRPr="003B26D1" w:rsidRDefault="003B26D1" w:rsidP="003B26D1">
            <w:pPr>
              <w:rPr>
                <w:rFonts w:ascii="Arial" w:hAnsi="Arial" w:cs="Arial"/>
                <w:sz w:val="20"/>
                <w:szCs w:val="20"/>
              </w:rPr>
            </w:pPr>
            <w:r w:rsidRPr="003B26D1">
              <w:rPr>
                <w:rFonts w:ascii="Arial" w:hAnsi="Arial" w:cs="Arial"/>
                <w:sz w:val="20"/>
                <w:szCs w:val="20"/>
              </w:rPr>
              <w:t xml:space="preserve">All residents must have maintained abstinence from non-prescribed drugs and alcohol for a minimum of three months prior to </w:t>
            </w:r>
            <w:r w:rsidR="00CB49A7" w:rsidRPr="003B26D1">
              <w:rPr>
                <w:rFonts w:ascii="Arial" w:hAnsi="Arial" w:cs="Arial"/>
                <w:sz w:val="20"/>
                <w:szCs w:val="20"/>
              </w:rPr>
              <w:t>admission.</w:t>
            </w:r>
            <w:r w:rsidR="00CB49A7">
              <w:rPr>
                <w:rFonts w:ascii="Arial" w:hAnsi="Arial" w:cs="Arial"/>
                <w:sz w:val="20"/>
                <w:szCs w:val="20"/>
              </w:rPr>
              <w:t xml:space="preserve"> Residents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26D1">
              <w:rPr>
                <w:rFonts w:ascii="Arial" w:hAnsi="Arial" w:cs="Arial"/>
                <w:sz w:val="20"/>
                <w:szCs w:val="20"/>
              </w:rPr>
              <w:t xml:space="preserve"> are </w:t>
            </w:r>
            <w:r>
              <w:rPr>
                <w:rFonts w:ascii="Arial" w:hAnsi="Arial" w:cs="Arial"/>
                <w:sz w:val="20"/>
                <w:szCs w:val="20"/>
              </w:rPr>
              <w:t xml:space="preserve">required </w:t>
            </w:r>
            <w:r w:rsidRPr="003B26D1">
              <w:rPr>
                <w:rFonts w:ascii="Arial" w:hAnsi="Arial" w:cs="Arial"/>
                <w:sz w:val="20"/>
                <w:szCs w:val="20"/>
              </w:rPr>
              <w:t>to remain abstinent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B26D1">
              <w:rPr>
                <w:rFonts w:ascii="Arial" w:hAnsi="Arial" w:cs="Arial"/>
                <w:sz w:val="20"/>
                <w:szCs w:val="20"/>
              </w:rPr>
              <w:t>both on and off the premis</w:t>
            </w:r>
            <w:r>
              <w:rPr>
                <w:rFonts w:ascii="Arial" w:hAnsi="Arial" w:cs="Arial"/>
                <w:sz w:val="20"/>
                <w:szCs w:val="20"/>
              </w:rPr>
              <w:t xml:space="preserve">e for </w:t>
            </w:r>
            <w:r w:rsidRPr="003B26D1">
              <w:rPr>
                <w:rFonts w:ascii="Arial" w:hAnsi="Arial" w:cs="Arial"/>
                <w:sz w:val="20"/>
                <w:szCs w:val="20"/>
              </w:rPr>
              <w:t xml:space="preserve">or the  duration of their stay at </w:t>
            </w:r>
            <w:proofErr w:type="spellStart"/>
            <w:r w:rsidRPr="003B26D1">
              <w:rPr>
                <w:rFonts w:ascii="Arial" w:hAnsi="Arial" w:cs="Arial"/>
                <w:sz w:val="20"/>
                <w:szCs w:val="20"/>
              </w:rPr>
              <w:t>Wytham</w:t>
            </w:r>
            <w:proofErr w:type="spellEnd"/>
            <w:r w:rsidRPr="003B26D1">
              <w:rPr>
                <w:rFonts w:ascii="Arial" w:hAnsi="Arial" w:cs="Arial"/>
                <w:sz w:val="20"/>
                <w:szCs w:val="20"/>
              </w:rPr>
              <w:t xml:space="preserve"> Hall.</w:t>
            </w:r>
          </w:p>
        </w:tc>
      </w:tr>
      <w:tr w:rsidR="00463C20" w:rsidRPr="00463C20" w14:paraId="6BDA2F76" w14:textId="77777777" w:rsidTr="0061246B">
        <w:tc>
          <w:tcPr>
            <w:tcW w:w="10314" w:type="dxa"/>
            <w:gridSpan w:val="2"/>
          </w:tcPr>
          <w:p w14:paraId="069B550E" w14:textId="7A5BD69A" w:rsidR="00C369F2" w:rsidRPr="00463C20" w:rsidRDefault="00C369F2" w:rsidP="0099622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63C20">
              <w:rPr>
                <w:rFonts w:ascii="Arial" w:hAnsi="Arial" w:cs="Arial"/>
                <w:b/>
                <w:sz w:val="20"/>
                <w:szCs w:val="20"/>
                <w:u w:val="single"/>
              </w:rPr>
              <w:t>Ethos</w:t>
            </w:r>
            <w:r w:rsidRPr="00463C20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3044D958" w14:textId="77777777" w:rsidR="0099622E" w:rsidRPr="00463C20" w:rsidRDefault="0099622E" w:rsidP="0099622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31CAF0C" w14:textId="558EE377" w:rsidR="003B26D1" w:rsidRPr="003B26D1" w:rsidRDefault="003B26D1" w:rsidP="003B26D1">
            <w:pPr>
              <w:rPr>
                <w:rFonts w:ascii="Arial" w:hAnsi="Arial" w:cs="Arial"/>
                <w:sz w:val="20"/>
                <w:szCs w:val="20"/>
              </w:rPr>
            </w:pPr>
            <w:r w:rsidRPr="003B26D1">
              <w:rPr>
                <w:rFonts w:ascii="Arial" w:hAnsi="Arial" w:cs="Arial"/>
                <w:sz w:val="20"/>
                <w:szCs w:val="20"/>
              </w:rPr>
              <w:t xml:space="preserve">Residents appreciate the calm and informal atmosphere of our housing, which often contrasts with the larger </w:t>
            </w:r>
            <w:proofErr w:type="spellStart"/>
            <w:r w:rsidR="0047703B" w:rsidRPr="003B26D1">
              <w:rPr>
                <w:rFonts w:ascii="Arial" w:hAnsi="Arial" w:cs="Arial"/>
                <w:sz w:val="20"/>
                <w:szCs w:val="20"/>
              </w:rPr>
              <w:t>host</w:t>
            </w:r>
            <w:r w:rsidR="0047703B">
              <w:rPr>
                <w:rFonts w:ascii="Arial" w:hAnsi="Arial" w:cs="Arial"/>
                <w:sz w:val="20"/>
                <w:szCs w:val="20"/>
              </w:rPr>
              <w:t>el</w:t>
            </w:r>
            <w:proofErr w:type="spellEnd"/>
            <w:r w:rsidR="004770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26D1">
              <w:rPr>
                <w:rFonts w:ascii="Arial" w:hAnsi="Arial" w:cs="Arial"/>
                <w:sz w:val="20"/>
                <w:szCs w:val="20"/>
              </w:rPr>
              <w:t>environments</w:t>
            </w:r>
            <w:r w:rsidR="00CB49A7">
              <w:rPr>
                <w:rFonts w:ascii="Arial" w:hAnsi="Arial" w:cs="Arial"/>
                <w:sz w:val="20"/>
                <w:szCs w:val="20"/>
              </w:rPr>
              <w:t>,</w:t>
            </w:r>
            <w:r w:rsidRPr="003B26D1">
              <w:rPr>
                <w:rFonts w:ascii="Arial" w:hAnsi="Arial" w:cs="Arial"/>
                <w:sz w:val="20"/>
                <w:szCs w:val="20"/>
              </w:rPr>
              <w:t xml:space="preserve"> they may have previously experienced.</w:t>
            </w:r>
            <w:r w:rsidRPr="003B26D1">
              <w:rPr>
                <w:rFonts w:ascii="Arial" w:hAnsi="Arial" w:cs="Arial"/>
                <w:sz w:val="20"/>
                <w:szCs w:val="20"/>
              </w:rPr>
              <w:br/>
              <w:t xml:space="preserve">At </w:t>
            </w:r>
            <w:proofErr w:type="spellStart"/>
            <w:r w:rsidRPr="003B26D1">
              <w:rPr>
                <w:rFonts w:ascii="Arial" w:hAnsi="Arial" w:cs="Arial"/>
                <w:sz w:val="20"/>
                <w:szCs w:val="20"/>
              </w:rPr>
              <w:t>Wytham</w:t>
            </w:r>
            <w:proofErr w:type="spellEnd"/>
            <w:r w:rsidRPr="003B26D1">
              <w:rPr>
                <w:rFonts w:ascii="Arial" w:hAnsi="Arial" w:cs="Arial"/>
                <w:sz w:val="20"/>
                <w:szCs w:val="20"/>
              </w:rPr>
              <w:t xml:space="preserve"> Hall, we aim to support individuals who are motivated to improve their circumstances</w:t>
            </w:r>
            <w:r w:rsidR="00C3465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B26D1">
              <w:rPr>
                <w:rFonts w:ascii="Arial" w:hAnsi="Arial" w:cs="Arial"/>
                <w:sz w:val="20"/>
                <w:szCs w:val="20"/>
              </w:rPr>
              <w:t xml:space="preserve">whether through counselling or therapy, pursuing education or training, or simply seeking a more stable and fulfilling way of life, </w:t>
            </w:r>
            <w:r w:rsidR="00B07211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Pr="003B26D1">
              <w:rPr>
                <w:rFonts w:ascii="Arial" w:hAnsi="Arial" w:cs="Arial"/>
                <w:sz w:val="20"/>
                <w:szCs w:val="20"/>
              </w:rPr>
              <w:t>support</w:t>
            </w:r>
            <w:r w:rsidR="00B07211">
              <w:rPr>
                <w:rFonts w:ascii="Arial" w:hAnsi="Arial" w:cs="Arial"/>
                <w:sz w:val="20"/>
                <w:szCs w:val="20"/>
              </w:rPr>
              <w:t xml:space="preserve"> from </w:t>
            </w:r>
            <w:r w:rsidRPr="003B26D1">
              <w:rPr>
                <w:rFonts w:ascii="Arial" w:hAnsi="Arial" w:cs="Arial"/>
                <w:sz w:val="20"/>
                <w:szCs w:val="20"/>
              </w:rPr>
              <w:t>staff</w:t>
            </w:r>
            <w:r w:rsidR="00C3465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741BC0" w14:textId="77777777" w:rsidR="003B26D1" w:rsidRPr="003B26D1" w:rsidRDefault="003B26D1" w:rsidP="003B26D1">
            <w:pPr>
              <w:rPr>
                <w:rFonts w:ascii="Arial" w:hAnsi="Arial" w:cs="Arial"/>
                <w:sz w:val="20"/>
                <w:szCs w:val="20"/>
              </w:rPr>
            </w:pPr>
            <w:r w:rsidRPr="003B26D1">
              <w:rPr>
                <w:rFonts w:ascii="Arial" w:hAnsi="Arial" w:cs="Arial"/>
                <w:sz w:val="20"/>
                <w:szCs w:val="20"/>
              </w:rPr>
              <w:t>We take time to understand each resident as an individual, offering tailored support that reflects their unique needs and goals.</w:t>
            </w:r>
          </w:p>
          <w:p w14:paraId="147D3299" w14:textId="220ACF7B" w:rsidR="002D57EA" w:rsidRPr="00463C20" w:rsidRDefault="002D57EA" w:rsidP="0099622E">
            <w:pPr>
              <w:rPr>
                <w:rStyle w:val="body-text1"/>
                <w:rFonts w:ascii="Arial" w:hAnsi="Arial" w:cs="Arial"/>
                <w:sz w:val="20"/>
                <w:szCs w:val="20"/>
              </w:rPr>
            </w:pPr>
          </w:p>
          <w:p w14:paraId="101AB68E" w14:textId="0EBCD564" w:rsidR="0099622E" w:rsidRPr="00463C20" w:rsidRDefault="0099622E" w:rsidP="003B26D1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463C20" w:rsidRPr="00463C20" w14:paraId="439A29FB" w14:textId="77777777" w:rsidTr="0061246B">
        <w:tc>
          <w:tcPr>
            <w:tcW w:w="10314" w:type="dxa"/>
            <w:gridSpan w:val="2"/>
          </w:tcPr>
          <w:p w14:paraId="2C5BC5D1" w14:textId="0A12CB66" w:rsidR="00C369F2" w:rsidRPr="00463C20" w:rsidRDefault="00C369F2" w:rsidP="0099622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63C20">
              <w:rPr>
                <w:rFonts w:ascii="Arial" w:hAnsi="Arial" w:cs="Arial"/>
                <w:b/>
                <w:sz w:val="20"/>
                <w:szCs w:val="20"/>
                <w:u w:val="single"/>
              </w:rPr>
              <w:t>Support:</w:t>
            </w:r>
          </w:p>
          <w:p w14:paraId="0E11C559" w14:textId="77777777" w:rsidR="002D57EA" w:rsidRPr="00463C20" w:rsidRDefault="002D57EA" w:rsidP="0099622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ABD933C" w14:textId="77777777" w:rsidR="000F2466" w:rsidRPr="00463C20" w:rsidRDefault="000F2466" w:rsidP="009962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C0B7D2" w14:textId="4F1CFBDD" w:rsidR="0061246B" w:rsidRDefault="00E6182D" w:rsidP="00C3465C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463C20">
              <w:rPr>
                <w:rFonts w:ascii="Arial" w:hAnsi="Arial" w:cs="Arial"/>
                <w:sz w:val="20"/>
                <w:szCs w:val="20"/>
              </w:rPr>
              <w:t>Staff support is provided Monday to Friday, 9am to 5.</w:t>
            </w:r>
            <w:r w:rsidR="00C3465C">
              <w:rPr>
                <w:rFonts w:ascii="Arial" w:hAnsi="Arial" w:cs="Arial"/>
                <w:sz w:val="20"/>
                <w:szCs w:val="20"/>
              </w:rPr>
              <w:t>0</w:t>
            </w:r>
            <w:r w:rsidRPr="00463C20">
              <w:rPr>
                <w:rFonts w:ascii="Arial" w:hAnsi="Arial" w:cs="Arial"/>
                <w:sz w:val="20"/>
                <w:szCs w:val="20"/>
              </w:rPr>
              <w:t>0pm</w:t>
            </w:r>
            <w:r w:rsidR="00065157" w:rsidRPr="00463C20">
              <w:rPr>
                <w:rFonts w:ascii="Arial" w:hAnsi="Arial" w:cs="Arial"/>
                <w:sz w:val="20"/>
                <w:szCs w:val="20"/>
              </w:rPr>
              <w:t xml:space="preserve">. Outside of these times </w:t>
            </w:r>
            <w:r w:rsidRPr="00463C20">
              <w:rPr>
                <w:rFonts w:ascii="Arial" w:hAnsi="Arial" w:cs="Arial"/>
                <w:sz w:val="20"/>
                <w:szCs w:val="20"/>
              </w:rPr>
              <w:t xml:space="preserve">residents have access to an </w:t>
            </w:r>
            <w:r w:rsidR="00F821D2" w:rsidRPr="00463C20">
              <w:rPr>
                <w:rFonts w:ascii="Arial" w:hAnsi="Arial" w:cs="Arial"/>
                <w:sz w:val="20"/>
                <w:szCs w:val="20"/>
              </w:rPr>
              <w:t xml:space="preserve">emergency </w:t>
            </w:r>
            <w:r w:rsidRPr="00463C20">
              <w:rPr>
                <w:rFonts w:ascii="Arial" w:hAnsi="Arial" w:cs="Arial"/>
                <w:sz w:val="20"/>
                <w:szCs w:val="20"/>
              </w:rPr>
              <w:t>out of hours service</w:t>
            </w:r>
            <w:r w:rsidR="00065157" w:rsidRPr="00463C2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1D84FE" w14:textId="77777777" w:rsidR="006335D2" w:rsidRDefault="006335D2" w:rsidP="00C3465C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7978BD34" w14:textId="1B779D5A" w:rsidR="00D00634" w:rsidRDefault="00D00634" w:rsidP="00C3465C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463C20">
              <w:rPr>
                <w:rFonts w:ascii="Arial" w:hAnsi="Arial" w:cs="Arial"/>
                <w:sz w:val="20"/>
                <w:szCs w:val="20"/>
              </w:rPr>
              <w:t xml:space="preserve">Residents are encouraged to be responsible for their own development and working towards move-on </w:t>
            </w:r>
            <w:r w:rsidR="00CB49A7">
              <w:rPr>
                <w:rFonts w:ascii="Arial" w:hAnsi="Arial" w:cs="Arial"/>
                <w:sz w:val="20"/>
                <w:szCs w:val="20"/>
              </w:rPr>
              <w:t>-</w:t>
            </w:r>
            <w:r w:rsidRPr="00463C20">
              <w:t>with staff support</w:t>
            </w:r>
            <w:r w:rsidR="006335D2">
              <w:t>.</w:t>
            </w:r>
            <w:r w:rsidRPr="00463C20">
              <w:rPr>
                <w:rFonts w:ascii="Arial" w:hAnsi="Arial" w:cs="Arial"/>
                <w:sz w:val="20"/>
                <w:szCs w:val="20"/>
              </w:rPr>
              <w:t xml:space="preserve"> Residents are r</w:t>
            </w:r>
            <w:r w:rsidRPr="00463C20">
              <w:t xml:space="preserve">equired </w:t>
            </w:r>
            <w:r w:rsidRPr="00463C20">
              <w:rPr>
                <w:rFonts w:ascii="Arial" w:hAnsi="Arial" w:cs="Arial"/>
                <w:sz w:val="20"/>
                <w:szCs w:val="20"/>
              </w:rPr>
              <w:t xml:space="preserve">to meet with their key worker </w:t>
            </w:r>
            <w:r w:rsidR="006335D2" w:rsidRPr="00463C20">
              <w:rPr>
                <w:rFonts w:ascii="Arial" w:hAnsi="Arial" w:cs="Arial"/>
                <w:sz w:val="20"/>
                <w:szCs w:val="20"/>
              </w:rPr>
              <w:t>monthly</w:t>
            </w:r>
            <w:r w:rsidRPr="00463C20">
              <w:rPr>
                <w:rFonts w:ascii="Arial" w:hAnsi="Arial" w:cs="Arial"/>
                <w:sz w:val="20"/>
                <w:szCs w:val="20"/>
              </w:rPr>
              <w:t xml:space="preserve"> (weekly during the first month</w:t>
            </w:r>
            <w:proofErr w:type="gramStart"/>
            <w:r w:rsidR="00CB49A7">
              <w:rPr>
                <w:rFonts w:ascii="Arial" w:hAnsi="Arial" w:cs="Arial"/>
                <w:sz w:val="20"/>
                <w:szCs w:val="20"/>
              </w:rPr>
              <w:t>),</w:t>
            </w:r>
            <w:proofErr w:type="gramEnd"/>
            <w:r w:rsidR="00CB49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3C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35D2">
              <w:rPr>
                <w:rFonts w:ascii="Arial" w:hAnsi="Arial" w:cs="Arial"/>
                <w:sz w:val="20"/>
                <w:szCs w:val="20"/>
              </w:rPr>
              <w:t xml:space="preserve">however </w:t>
            </w:r>
            <w:r w:rsidRPr="00463C20">
              <w:rPr>
                <w:rFonts w:ascii="Arial" w:hAnsi="Arial" w:cs="Arial"/>
                <w:sz w:val="20"/>
                <w:szCs w:val="20"/>
              </w:rPr>
              <w:t xml:space="preserve">this is often more frequent </w:t>
            </w:r>
            <w:r w:rsidR="00DF76DD">
              <w:rPr>
                <w:rFonts w:ascii="Arial" w:hAnsi="Arial" w:cs="Arial"/>
                <w:sz w:val="20"/>
                <w:szCs w:val="20"/>
              </w:rPr>
              <w:t xml:space="preserve">due to </w:t>
            </w:r>
            <w:proofErr w:type="gramStart"/>
            <w:r w:rsidR="00DF76DD">
              <w:rPr>
                <w:rFonts w:ascii="Arial" w:hAnsi="Arial" w:cs="Arial"/>
                <w:sz w:val="20"/>
                <w:szCs w:val="20"/>
              </w:rPr>
              <w:t>residents</w:t>
            </w:r>
            <w:proofErr w:type="gramEnd"/>
            <w:r w:rsidR="00DF76DD">
              <w:rPr>
                <w:rFonts w:ascii="Arial" w:hAnsi="Arial" w:cs="Arial"/>
                <w:sz w:val="20"/>
                <w:szCs w:val="20"/>
              </w:rPr>
              <w:t xml:space="preserve"> support needs. </w:t>
            </w:r>
          </w:p>
          <w:p w14:paraId="246D8C0A" w14:textId="77777777" w:rsidR="00E70D32" w:rsidRDefault="00E70D32" w:rsidP="00C3465C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79B46254" w14:textId="7CBFEA0C" w:rsidR="002D57EA" w:rsidRPr="00463C20" w:rsidRDefault="00E70D32" w:rsidP="00C3465C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70D32">
              <w:rPr>
                <w:rFonts w:ascii="Arial" w:hAnsi="Arial" w:cs="Arial"/>
                <w:sz w:val="20"/>
                <w:szCs w:val="20"/>
              </w:rPr>
              <w:t>We offer workshops designed to help residents prepare for a successful transition into independent living.</w:t>
            </w:r>
            <w:r w:rsidRPr="00E70D32">
              <w:rPr>
                <w:rFonts w:ascii="Arial" w:hAnsi="Arial" w:cs="Arial"/>
                <w:sz w:val="20"/>
                <w:szCs w:val="20"/>
              </w:rPr>
              <w:br/>
              <w:t>Topics covered include budgeting, healthy eating, and understanding what to expect during the move-on process. These sessions aim to build confidence and practical skills that support long-term stability</w:t>
            </w:r>
          </w:p>
          <w:p w14:paraId="60BDD929" w14:textId="6FAC815E" w:rsidR="00DF76DD" w:rsidRDefault="00CF3B8C" w:rsidP="00C3465C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3C20">
              <w:rPr>
                <w:rFonts w:ascii="Arial" w:hAnsi="Arial" w:cs="Arial"/>
                <w:sz w:val="20"/>
                <w:szCs w:val="20"/>
              </w:rPr>
              <w:lastRenderedPageBreak/>
              <w:t>Wytham</w:t>
            </w:r>
            <w:proofErr w:type="spellEnd"/>
            <w:r w:rsidRPr="00463C20">
              <w:rPr>
                <w:rFonts w:ascii="Arial" w:hAnsi="Arial" w:cs="Arial"/>
                <w:sz w:val="20"/>
                <w:szCs w:val="20"/>
              </w:rPr>
              <w:t xml:space="preserve"> Hall </w:t>
            </w:r>
            <w:r w:rsidR="00E7299B">
              <w:rPr>
                <w:rFonts w:ascii="Arial" w:hAnsi="Arial" w:cs="Arial"/>
                <w:sz w:val="20"/>
                <w:szCs w:val="20"/>
              </w:rPr>
              <w:t>will</w:t>
            </w:r>
            <w:r w:rsidR="00DF76DD">
              <w:rPr>
                <w:rFonts w:ascii="Arial" w:hAnsi="Arial" w:cs="Arial"/>
                <w:sz w:val="20"/>
                <w:szCs w:val="20"/>
              </w:rPr>
              <w:t xml:space="preserve"> have</w:t>
            </w:r>
            <w:r w:rsidR="00E729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3C20">
              <w:rPr>
                <w:rFonts w:ascii="Arial" w:hAnsi="Arial" w:cs="Arial"/>
                <w:sz w:val="20"/>
                <w:szCs w:val="20"/>
              </w:rPr>
              <w:t>its own counselling service</w:t>
            </w:r>
            <w:r w:rsidR="00DF76DD">
              <w:rPr>
                <w:rFonts w:ascii="Arial" w:hAnsi="Arial" w:cs="Arial"/>
                <w:sz w:val="20"/>
                <w:szCs w:val="20"/>
              </w:rPr>
              <w:t xml:space="preserve"> available</w:t>
            </w:r>
            <w:r w:rsidR="00014967">
              <w:rPr>
                <w:rFonts w:ascii="Arial" w:hAnsi="Arial" w:cs="Arial"/>
                <w:sz w:val="20"/>
                <w:szCs w:val="20"/>
              </w:rPr>
              <w:t xml:space="preserve"> for residents to access weekly. </w:t>
            </w:r>
          </w:p>
          <w:p w14:paraId="0E5465AD" w14:textId="010610C4" w:rsidR="00CF3B8C" w:rsidRPr="00463C20" w:rsidRDefault="00CF3B8C" w:rsidP="00C3465C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463C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58C56A" w14:textId="5A0BB610" w:rsidR="002D57EA" w:rsidRPr="00463C20" w:rsidRDefault="002D57EA" w:rsidP="0099622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63C20" w:rsidRPr="00463C20" w14:paraId="5D7F2D31" w14:textId="77777777" w:rsidTr="0061246B">
        <w:tc>
          <w:tcPr>
            <w:tcW w:w="10314" w:type="dxa"/>
            <w:gridSpan w:val="2"/>
          </w:tcPr>
          <w:p w14:paraId="0C495E0D" w14:textId="70451173" w:rsidR="00C369F2" w:rsidRPr="00463C20" w:rsidRDefault="00463C20" w:rsidP="0099622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Our e</w:t>
            </w:r>
            <w:r w:rsidR="00C369F2" w:rsidRPr="00463C2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xpectations of </w:t>
            </w:r>
            <w:r w:rsidR="002D57EA" w:rsidRPr="00463C20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="002D57EA" w:rsidRPr="00463C20">
              <w:rPr>
                <w:b/>
                <w:u w:val="single"/>
              </w:rPr>
              <w:t>esidents</w:t>
            </w:r>
            <w:r w:rsidR="00C369F2" w:rsidRPr="00463C20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  <w:p w14:paraId="65E1C3B5" w14:textId="77777777" w:rsidR="002D57EA" w:rsidRPr="00463C20" w:rsidRDefault="002D57EA" w:rsidP="002D57E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14:paraId="643979E0" w14:textId="55682DD1" w:rsidR="002D57EA" w:rsidRPr="00463C20" w:rsidRDefault="007D7926" w:rsidP="002D57EA">
            <w:pPr>
              <w:rPr>
                <w:rFonts w:ascii="Arial" w:hAnsi="Arial" w:cs="Arial"/>
                <w:sz w:val="20"/>
                <w:szCs w:val="20"/>
              </w:rPr>
            </w:pPr>
            <w:r w:rsidRPr="00463C20">
              <w:rPr>
                <w:rFonts w:ascii="Arial" w:hAnsi="Arial" w:cs="Arial"/>
                <w:sz w:val="20"/>
                <w:szCs w:val="20"/>
              </w:rPr>
              <w:t>Residents are required to live in a semi-independent manner</w:t>
            </w:r>
            <w:r w:rsidR="007A31FF" w:rsidRPr="00463C20">
              <w:rPr>
                <w:rFonts w:ascii="Arial" w:hAnsi="Arial" w:cs="Arial"/>
                <w:sz w:val="20"/>
                <w:szCs w:val="20"/>
              </w:rPr>
              <w:t xml:space="preserve"> which helps them to prepare for move on and independent living</w:t>
            </w:r>
            <w:r w:rsidRPr="00463C20">
              <w:rPr>
                <w:rFonts w:ascii="Arial" w:hAnsi="Arial" w:cs="Arial"/>
                <w:sz w:val="20"/>
                <w:szCs w:val="20"/>
              </w:rPr>
              <w:t>. They</w:t>
            </w:r>
            <w:r w:rsidR="00495558" w:rsidRPr="00463C20">
              <w:rPr>
                <w:rFonts w:ascii="Arial" w:hAnsi="Arial" w:cs="Arial"/>
                <w:sz w:val="20"/>
                <w:szCs w:val="20"/>
              </w:rPr>
              <w:t xml:space="preserve"> are required to do their own cleaning and to carry out their shar</w:t>
            </w:r>
            <w:r w:rsidR="006B640C" w:rsidRPr="00463C20">
              <w:rPr>
                <w:rFonts w:ascii="Arial" w:hAnsi="Arial" w:cs="Arial"/>
                <w:sz w:val="20"/>
                <w:szCs w:val="20"/>
              </w:rPr>
              <w:t>e of the communal tasks</w:t>
            </w:r>
            <w:r w:rsidR="00F821D2" w:rsidRPr="00463C20">
              <w:rPr>
                <w:rFonts w:ascii="Arial" w:hAnsi="Arial" w:cs="Arial"/>
                <w:sz w:val="20"/>
                <w:szCs w:val="20"/>
              </w:rPr>
              <w:t>,</w:t>
            </w:r>
            <w:r w:rsidR="007A31FF" w:rsidRPr="00463C20">
              <w:rPr>
                <w:rFonts w:ascii="Arial" w:hAnsi="Arial" w:cs="Arial"/>
                <w:sz w:val="20"/>
                <w:szCs w:val="20"/>
              </w:rPr>
              <w:t xml:space="preserve"> which promotes good relations with </w:t>
            </w:r>
            <w:r w:rsidR="00CF3B8C" w:rsidRPr="00463C20">
              <w:rPr>
                <w:rFonts w:ascii="Arial" w:hAnsi="Arial" w:cs="Arial"/>
                <w:sz w:val="20"/>
                <w:szCs w:val="20"/>
              </w:rPr>
              <w:t>their fellow residents</w:t>
            </w:r>
            <w:r w:rsidR="00495558" w:rsidRPr="00463C20">
              <w:rPr>
                <w:rFonts w:ascii="Arial" w:hAnsi="Arial" w:cs="Arial"/>
                <w:sz w:val="20"/>
                <w:szCs w:val="20"/>
              </w:rPr>
              <w:t>.</w:t>
            </w:r>
            <w:r w:rsidR="007A31FF" w:rsidRPr="00463C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21D2" w:rsidRPr="00463C20">
              <w:rPr>
                <w:rFonts w:ascii="Arial" w:hAnsi="Arial" w:cs="Arial"/>
                <w:sz w:val="20"/>
                <w:szCs w:val="20"/>
              </w:rPr>
              <w:t>T</w:t>
            </w:r>
            <w:r w:rsidR="007A31FF" w:rsidRPr="00463C20">
              <w:rPr>
                <w:rFonts w:ascii="Arial" w:hAnsi="Arial" w:cs="Arial"/>
                <w:sz w:val="20"/>
                <w:szCs w:val="20"/>
              </w:rPr>
              <w:t>he best outcome</w:t>
            </w:r>
            <w:r w:rsidR="00F821D2" w:rsidRPr="00463C20">
              <w:rPr>
                <w:rFonts w:ascii="Arial" w:hAnsi="Arial" w:cs="Arial"/>
                <w:sz w:val="20"/>
                <w:szCs w:val="20"/>
              </w:rPr>
              <w:t xml:space="preserve">s are achieved via </w:t>
            </w:r>
            <w:r w:rsidR="00275FFA" w:rsidRPr="00463C20">
              <w:rPr>
                <w:rFonts w:ascii="Arial" w:hAnsi="Arial" w:cs="Arial"/>
                <w:sz w:val="20"/>
                <w:szCs w:val="20"/>
              </w:rPr>
              <w:t>engage</w:t>
            </w:r>
            <w:r w:rsidR="007A31FF" w:rsidRPr="00463C20">
              <w:rPr>
                <w:rFonts w:ascii="Arial" w:hAnsi="Arial" w:cs="Arial"/>
                <w:sz w:val="20"/>
                <w:szCs w:val="20"/>
              </w:rPr>
              <w:t>ment</w:t>
            </w:r>
            <w:r w:rsidR="00275FFA" w:rsidRPr="00463C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6F4C" w:rsidRPr="00463C20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F821D2" w:rsidRPr="00463C20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BD6F4C" w:rsidRPr="00463C20">
              <w:rPr>
                <w:rFonts w:ascii="Arial" w:hAnsi="Arial" w:cs="Arial"/>
                <w:sz w:val="20"/>
                <w:szCs w:val="20"/>
              </w:rPr>
              <w:t>accept</w:t>
            </w:r>
            <w:r w:rsidR="00F821D2" w:rsidRPr="00463C20">
              <w:rPr>
                <w:rFonts w:ascii="Arial" w:hAnsi="Arial" w:cs="Arial"/>
                <w:sz w:val="20"/>
                <w:szCs w:val="20"/>
              </w:rPr>
              <w:t>ance of</w:t>
            </w:r>
            <w:r w:rsidR="00CB49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182D" w:rsidRPr="00463C20">
              <w:rPr>
                <w:rFonts w:ascii="Arial" w:hAnsi="Arial" w:cs="Arial"/>
                <w:sz w:val="20"/>
                <w:szCs w:val="20"/>
              </w:rPr>
              <w:t xml:space="preserve">support </w:t>
            </w:r>
            <w:r w:rsidR="00CB49A7">
              <w:rPr>
                <w:rFonts w:ascii="Arial" w:hAnsi="Arial" w:cs="Arial"/>
                <w:sz w:val="20"/>
                <w:szCs w:val="20"/>
              </w:rPr>
              <w:t xml:space="preserve">through </w:t>
            </w:r>
            <w:r w:rsidR="00BD6F4C" w:rsidRPr="00463C20">
              <w:rPr>
                <w:rFonts w:ascii="Arial" w:hAnsi="Arial" w:cs="Arial"/>
                <w:sz w:val="20"/>
                <w:szCs w:val="20"/>
              </w:rPr>
              <w:t>key work sessions.</w:t>
            </w:r>
            <w:r w:rsidRPr="00463C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A9C05B" w14:textId="5CF954DD" w:rsidR="00BD6F4C" w:rsidRPr="00463C20" w:rsidRDefault="0061246B" w:rsidP="002D57EA">
            <w:pPr>
              <w:rPr>
                <w:rFonts w:ascii="Arial" w:hAnsi="Arial" w:cs="Arial"/>
                <w:sz w:val="20"/>
                <w:szCs w:val="20"/>
              </w:rPr>
            </w:pPr>
            <w:r w:rsidRPr="00463C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3A3947" w14:textId="77777777" w:rsidR="002D57EA" w:rsidRPr="00463C20" w:rsidRDefault="007A31FF" w:rsidP="002D57EA">
            <w:pPr>
              <w:rPr>
                <w:rFonts w:ascii="Arial" w:hAnsi="Arial" w:cs="Arial"/>
                <w:sz w:val="20"/>
                <w:szCs w:val="20"/>
              </w:rPr>
            </w:pPr>
            <w:r w:rsidRPr="00463C20">
              <w:rPr>
                <w:rFonts w:ascii="Arial" w:hAnsi="Arial" w:cs="Arial"/>
                <w:sz w:val="20"/>
                <w:szCs w:val="20"/>
              </w:rPr>
              <w:t xml:space="preserve">Residents are </w:t>
            </w:r>
            <w:r w:rsidR="00CF3B8C" w:rsidRPr="00463C20">
              <w:rPr>
                <w:rFonts w:ascii="Arial" w:hAnsi="Arial" w:cs="Arial"/>
                <w:sz w:val="20"/>
                <w:szCs w:val="20"/>
              </w:rPr>
              <w:t>required</w:t>
            </w:r>
            <w:r w:rsidRPr="00463C20">
              <w:rPr>
                <w:rFonts w:ascii="Arial" w:hAnsi="Arial" w:cs="Arial"/>
                <w:sz w:val="20"/>
                <w:szCs w:val="20"/>
              </w:rPr>
              <w:t xml:space="preserve"> to respect other residents and staff and are empowered to be</w:t>
            </w:r>
            <w:r w:rsidR="00D37DA8" w:rsidRPr="00463C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7926" w:rsidRPr="00463C20">
              <w:rPr>
                <w:rFonts w:ascii="Arial" w:hAnsi="Arial" w:cs="Arial"/>
                <w:sz w:val="20"/>
                <w:szCs w:val="20"/>
              </w:rPr>
              <w:t>r</w:t>
            </w:r>
            <w:r w:rsidR="007E2EBE" w:rsidRPr="00463C20">
              <w:rPr>
                <w:rFonts w:ascii="Arial" w:hAnsi="Arial" w:cs="Arial"/>
                <w:sz w:val="20"/>
                <w:szCs w:val="20"/>
              </w:rPr>
              <w:t>esponsible for their own health a</w:t>
            </w:r>
            <w:r w:rsidR="00BD6F4C" w:rsidRPr="00463C20">
              <w:rPr>
                <w:rFonts w:ascii="Arial" w:hAnsi="Arial" w:cs="Arial"/>
                <w:sz w:val="20"/>
                <w:szCs w:val="20"/>
              </w:rPr>
              <w:t>nd</w:t>
            </w:r>
            <w:r w:rsidR="00D41E9B" w:rsidRPr="00463C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6F4C" w:rsidRPr="00463C20">
              <w:rPr>
                <w:rFonts w:ascii="Arial" w:hAnsi="Arial" w:cs="Arial"/>
                <w:sz w:val="20"/>
                <w:szCs w:val="20"/>
              </w:rPr>
              <w:t xml:space="preserve">safety and </w:t>
            </w:r>
            <w:r w:rsidR="006B640C" w:rsidRPr="00463C20">
              <w:rPr>
                <w:rFonts w:ascii="Arial" w:hAnsi="Arial" w:cs="Arial"/>
                <w:sz w:val="20"/>
                <w:szCs w:val="20"/>
              </w:rPr>
              <w:t xml:space="preserve">that of </w:t>
            </w:r>
            <w:r w:rsidR="00BD6F4C" w:rsidRPr="00463C20">
              <w:rPr>
                <w:rFonts w:ascii="Arial" w:hAnsi="Arial" w:cs="Arial"/>
                <w:sz w:val="20"/>
                <w:szCs w:val="20"/>
              </w:rPr>
              <w:t>those around them.</w:t>
            </w:r>
          </w:p>
          <w:p w14:paraId="0C4566A3" w14:textId="0C056D2E" w:rsidR="007D7926" w:rsidRPr="00463C20" w:rsidRDefault="007A31FF" w:rsidP="002D57EA">
            <w:pPr>
              <w:rPr>
                <w:rFonts w:ascii="Arial" w:hAnsi="Arial" w:cs="Arial"/>
                <w:sz w:val="20"/>
                <w:szCs w:val="20"/>
              </w:rPr>
            </w:pPr>
            <w:r w:rsidRPr="00463C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63C20" w:rsidRPr="00463C20" w14:paraId="0C102915" w14:textId="77777777" w:rsidTr="0061246B">
        <w:tc>
          <w:tcPr>
            <w:tcW w:w="10314" w:type="dxa"/>
            <w:gridSpan w:val="2"/>
          </w:tcPr>
          <w:p w14:paraId="72F5908E" w14:textId="5E5FC302" w:rsidR="00C369F2" w:rsidRPr="00463C20" w:rsidRDefault="00C369F2" w:rsidP="002D57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63C20">
              <w:rPr>
                <w:rFonts w:ascii="Arial" w:hAnsi="Arial" w:cs="Arial"/>
                <w:b/>
                <w:sz w:val="20"/>
                <w:szCs w:val="20"/>
                <w:u w:val="single"/>
              </w:rPr>
              <w:t>Move-on pathway expectations</w:t>
            </w:r>
            <w:r w:rsidRPr="00463C20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615A47C0" w14:textId="77777777" w:rsidR="002D57EA" w:rsidRPr="00463C20" w:rsidRDefault="002D57EA" w:rsidP="002D57E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29CE3BC" w14:textId="3E5B2868" w:rsidR="00C3465C" w:rsidRPr="00C3465C" w:rsidRDefault="00C3465C" w:rsidP="00C3465C">
            <w:pPr>
              <w:rPr>
                <w:rFonts w:ascii="Arial" w:hAnsi="Arial" w:cs="Arial"/>
                <w:sz w:val="20"/>
                <w:szCs w:val="20"/>
              </w:rPr>
            </w:pPr>
            <w:r w:rsidRPr="00C3465C">
              <w:rPr>
                <w:rFonts w:ascii="Arial" w:hAnsi="Arial" w:cs="Arial"/>
                <w:sz w:val="20"/>
                <w:szCs w:val="20"/>
              </w:rPr>
              <w:t xml:space="preserve">Residents typically stay at </w:t>
            </w:r>
            <w:proofErr w:type="spellStart"/>
            <w:r w:rsidRPr="00C3465C">
              <w:rPr>
                <w:rFonts w:ascii="Arial" w:hAnsi="Arial" w:cs="Arial"/>
                <w:sz w:val="20"/>
                <w:szCs w:val="20"/>
              </w:rPr>
              <w:t>Wytham</w:t>
            </w:r>
            <w:proofErr w:type="spellEnd"/>
            <w:r w:rsidRPr="00C3465C">
              <w:rPr>
                <w:rFonts w:ascii="Arial" w:hAnsi="Arial" w:cs="Arial"/>
                <w:sz w:val="20"/>
                <w:szCs w:val="20"/>
              </w:rPr>
              <w:t xml:space="preserve"> Hall for around two years, although this can vary depending on individual needs and progress.</w:t>
            </w:r>
            <w:r w:rsidRPr="00C3465C">
              <w:rPr>
                <w:rFonts w:ascii="Arial" w:hAnsi="Arial" w:cs="Arial"/>
                <w:sz w:val="20"/>
                <w:szCs w:val="20"/>
              </w:rPr>
              <w:br/>
              <w:t xml:space="preserve">Regular </w:t>
            </w:r>
            <w:r>
              <w:rPr>
                <w:rFonts w:ascii="Arial" w:hAnsi="Arial" w:cs="Arial"/>
                <w:sz w:val="20"/>
                <w:szCs w:val="20"/>
              </w:rPr>
              <w:t>meetings</w:t>
            </w:r>
            <w:r w:rsidRPr="00C3465C">
              <w:rPr>
                <w:rFonts w:ascii="Arial" w:hAnsi="Arial" w:cs="Arial"/>
                <w:sz w:val="20"/>
                <w:szCs w:val="20"/>
              </w:rPr>
              <w:t xml:space="preserve"> are carried out to help determine the most appropriate next steps for each resident. While </w:t>
            </w:r>
            <w:proofErr w:type="spellStart"/>
            <w:r w:rsidRPr="00C3465C">
              <w:rPr>
                <w:rFonts w:ascii="Arial" w:hAnsi="Arial" w:cs="Arial"/>
                <w:sz w:val="20"/>
                <w:szCs w:val="20"/>
              </w:rPr>
              <w:t>Wytham</w:t>
            </w:r>
            <w:proofErr w:type="spellEnd"/>
            <w:r w:rsidRPr="00C3465C">
              <w:rPr>
                <w:rFonts w:ascii="Arial" w:hAnsi="Arial" w:cs="Arial"/>
                <w:sz w:val="20"/>
                <w:szCs w:val="20"/>
              </w:rPr>
              <w:t xml:space="preserve"> Hall does not offer move-on accommodation directly, we provide advice and referrals to suitable re-housing support organisations.</w:t>
            </w:r>
          </w:p>
          <w:p w14:paraId="47D9744B" w14:textId="3E83994C" w:rsidR="00C3465C" w:rsidRPr="00C3465C" w:rsidRDefault="00C3465C" w:rsidP="00C3465C">
            <w:pPr>
              <w:rPr>
                <w:rFonts w:ascii="Arial" w:hAnsi="Arial" w:cs="Arial"/>
                <w:sz w:val="20"/>
                <w:szCs w:val="20"/>
              </w:rPr>
            </w:pPr>
            <w:r w:rsidRPr="00C3465C">
              <w:rPr>
                <w:rFonts w:ascii="Arial" w:hAnsi="Arial" w:cs="Arial"/>
                <w:sz w:val="20"/>
                <w:szCs w:val="20"/>
              </w:rPr>
              <w:t xml:space="preserve">Common move-on options include the Clearing House, sheltered accommodation, or private rented housing. Residents are encouraged </w:t>
            </w:r>
            <w:r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C3465C">
              <w:rPr>
                <w:rFonts w:ascii="Arial" w:hAnsi="Arial" w:cs="Arial"/>
                <w:sz w:val="20"/>
                <w:szCs w:val="20"/>
              </w:rPr>
              <w:t xml:space="preserve">required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C3465C">
              <w:rPr>
                <w:rFonts w:ascii="Arial" w:hAnsi="Arial" w:cs="Arial"/>
                <w:sz w:val="20"/>
                <w:szCs w:val="20"/>
              </w:rPr>
              <w:t>o actively engage with all available move-on pathways.</w:t>
            </w:r>
          </w:p>
          <w:p w14:paraId="51B79D08" w14:textId="5F7F876F" w:rsidR="002D57EA" w:rsidRPr="00463C20" w:rsidRDefault="002D57EA" w:rsidP="00C346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C20" w:rsidRPr="00463C20" w14:paraId="763741FB" w14:textId="77777777" w:rsidTr="0061246B">
        <w:tc>
          <w:tcPr>
            <w:tcW w:w="10314" w:type="dxa"/>
            <w:gridSpan w:val="2"/>
          </w:tcPr>
          <w:p w14:paraId="20B3D20E" w14:textId="1D0DF709" w:rsidR="002D57EA" w:rsidRDefault="000F2466" w:rsidP="002D57E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63C20">
              <w:rPr>
                <w:rFonts w:ascii="Arial" w:hAnsi="Arial" w:cs="Arial"/>
                <w:b/>
                <w:sz w:val="20"/>
                <w:szCs w:val="20"/>
                <w:u w:val="single"/>
              </w:rPr>
              <w:t>Pre-care:</w:t>
            </w:r>
          </w:p>
          <w:p w14:paraId="7D9D16C6" w14:textId="77777777" w:rsidR="00C3465C" w:rsidRPr="00463C20" w:rsidRDefault="00C3465C" w:rsidP="002D57E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4AC2D11" w14:textId="307129BC" w:rsidR="00C3465C" w:rsidRDefault="00C3465C" w:rsidP="00C3465C">
            <w:pPr>
              <w:rPr>
                <w:rFonts w:ascii="Arial" w:hAnsi="Arial" w:cs="Arial"/>
                <w:sz w:val="20"/>
                <w:szCs w:val="20"/>
              </w:rPr>
            </w:pPr>
            <w:r w:rsidRPr="00C3465C">
              <w:rPr>
                <w:rFonts w:ascii="Arial" w:hAnsi="Arial" w:cs="Arial"/>
                <w:sz w:val="20"/>
                <w:szCs w:val="20"/>
              </w:rPr>
              <w:t xml:space="preserve">To help potential residents gain a genuine sense of </w:t>
            </w:r>
            <w:proofErr w:type="spellStart"/>
            <w:r w:rsidRPr="00C3465C">
              <w:rPr>
                <w:rFonts w:ascii="Arial" w:hAnsi="Arial" w:cs="Arial"/>
                <w:sz w:val="20"/>
                <w:szCs w:val="20"/>
              </w:rPr>
              <w:t>Wytham</w:t>
            </w:r>
            <w:proofErr w:type="spellEnd"/>
            <w:r w:rsidRPr="00C3465C">
              <w:rPr>
                <w:rFonts w:ascii="Arial" w:hAnsi="Arial" w:cs="Arial"/>
                <w:sz w:val="20"/>
                <w:szCs w:val="20"/>
              </w:rPr>
              <w:t xml:space="preserve"> Hall before proceeding with a formal </w:t>
            </w:r>
            <w:r w:rsidR="00B208C4" w:rsidRPr="00C3465C">
              <w:rPr>
                <w:rFonts w:ascii="Arial" w:hAnsi="Arial" w:cs="Arial"/>
                <w:sz w:val="20"/>
                <w:szCs w:val="20"/>
              </w:rPr>
              <w:t>referral, we</w:t>
            </w:r>
            <w:r w:rsidRPr="00C3465C">
              <w:rPr>
                <w:rFonts w:ascii="Arial" w:hAnsi="Arial" w:cs="Arial"/>
                <w:sz w:val="20"/>
                <w:szCs w:val="20"/>
              </w:rPr>
              <w:t xml:space="preserve"> offer the opportunity for an informal </w:t>
            </w:r>
            <w:r w:rsidR="00CB49A7" w:rsidRPr="00C3465C">
              <w:rPr>
                <w:rFonts w:ascii="Arial" w:hAnsi="Arial" w:cs="Arial"/>
                <w:sz w:val="20"/>
                <w:szCs w:val="20"/>
              </w:rPr>
              <w:t>visit. During</w:t>
            </w:r>
            <w:r w:rsidRPr="00C3465C">
              <w:rPr>
                <w:rFonts w:ascii="Arial" w:hAnsi="Arial" w:cs="Arial"/>
                <w:sz w:val="20"/>
                <w:szCs w:val="20"/>
              </w:rPr>
              <w:t xml:space="preserve"> this visit, we share the history of </w:t>
            </w:r>
            <w:proofErr w:type="spellStart"/>
            <w:r w:rsidRPr="00C3465C">
              <w:rPr>
                <w:rFonts w:ascii="Arial" w:hAnsi="Arial" w:cs="Arial"/>
                <w:sz w:val="20"/>
                <w:szCs w:val="20"/>
              </w:rPr>
              <w:t>Wytham</w:t>
            </w:r>
            <w:proofErr w:type="spellEnd"/>
            <w:r w:rsidRPr="00C3465C">
              <w:rPr>
                <w:rFonts w:ascii="Arial" w:hAnsi="Arial" w:cs="Arial"/>
                <w:sz w:val="20"/>
                <w:szCs w:val="20"/>
              </w:rPr>
              <w:t xml:space="preserve"> Hall, explain our approach, and provide a guided walk around the main building. This face-to-face interaction often helps challenge any preconceptions and gives a clearer picture of what life here is really like.</w:t>
            </w:r>
          </w:p>
          <w:p w14:paraId="21364E07" w14:textId="77777777" w:rsidR="00C3465C" w:rsidRPr="00C3465C" w:rsidRDefault="00C3465C" w:rsidP="00C346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B99617" w14:textId="77777777" w:rsidR="00C3465C" w:rsidRPr="00C3465C" w:rsidRDefault="00C3465C" w:rsidP="00C3465C">
            <w:pPr>
              <w:rPr>
                <w:rFonts w:ascii="Arial" w:hAnsi="Arial" w:cs="Arial"/>
                <w:sz w:val="20"/>
                <w:szCs w:val="20"/>
              </w:rPr>
            </w:pPr>
            <w:r w:rsidRPr="00C3465C">
              <w:rPr>
                <w:rFonts w:ascii="Arial" w:hAnsi="Arial" w:cs="Arial"/>
                <w:sz w:val="20"/>
                <w:szCs w:val="20"/>
              </w:rPr>
              <w:t>We believe this approach benefits both parties. Visitors often leave with a clearer understanding and, in many cases, a renewed enthusiasm for engaging with the service. It also helps ease any anxiety ahead of the formal assessment process.</w:t>
            </w:r>
          </w:p>
          <w:p w14:paraId="1F4D5EB6" w14:textId="2877056F" w:rsidR="000F2466" w:rsidRPr="00463C20" w:rsidRDefault="000F2466" w:rsidP="00C3465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F2466" w:rsidRPr="00463C20" w14:paraId="49B95017" w14:textId="77777777" w:rsidTr="0061246B">
        <w:tc>
          <w:tcPr>
            <w:tcW w:w="10314" w:type="dxa"/>
            <w:gridSpan w:val="2"/>
          </w:tcPr>
          <w:p w14:paraId="3DA3FE2A" w14:textId="575A6819" w:rsidR="000F2466" w:rsidRPr="00463C20" w:rsidRDefault="000F2466" w:rsidP="000F246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63C20">
              <w:rPr>
                <w:rFonts w:ascii="Arial" w:hAnsi="Arial" w:cs="Arial"/>
                <w:b/>
                <w:sz w:val="20"/>
                <w:szCs w:val="20"/>
                <w:u w:val="single"/>
              </w:rPr>
              <w:t>Aftercare:</w:t>
            </w:r>
          </w:p>
          <w:p w14:paraId="731894CC" w14:textId="77777777" w:rsidR="000F2466" w:rsidRPr="00463C20" w:rsidRDefault="000F2466" w:rsidP="002D57E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10F185" w14:textId="783D2C43" w:rsidR="00F54888" w:rsidRDefault="00F54888" w:rsidP="00F5488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4888">
              <w:rPr>
                <w:rFonts w:ascii="Arial" w:hAnsi="Arial" w:cs="Arial"/>
                <w:sz w:val="20"/>
                <w:szCs w:val="20"/>
              </w:rPr>
              <w:t>Wytham</w:t>
            </w:r>
            <w:proofErr w:type="spellEnd"/>
            <w:r w:rsidRPr="00F54888">
              <w:rPr>
                <w:rFonts w:ascii="Arial" w:hAnsi="Arial" w:cs="Arial"/>
                <w:sz w:val="20"/>
                <w:szCs w:val="20"/>
              </w:rPr>
              <w:t xml:space="preserve"> Hall recognises that moving on can be both challenging and daunting</w:t>
            </w:r>
            <w:r>
              <w:rPr>
                <w:rFonts w:ascii="Arial" w:hAnsi="Arial" w:cs="Arial"/>
                <w:sz w:val="20"/>
                <w:szCs w:val="20"/>
              </w:rPr>
              <w:t xml:space="preserve"> for residents; to</w:t>
            </w:r>
            <w:r w:rsidRPr="00F54888">
              <w:rPr>
                <w:rFonts w:ascii="Arial" w:hAnsi="Arial" w:cs="Arial"/>
                <w:sz w:val="20"/>
                <w:szCs w:val="20"/>
              </w:rPr>
              <w:t xml:space="preserve"> ease this transition, we offer up to three months of floating support after a resident has moved out. </w:t>
            </w:r>
          </w:p>
          <w:p w14:paraId="61E8B0E6" w14:textId="430DF621" w:rsidR="00F54888" w:rsidRPr="00F54888" w:rsidRDefault="00F54888" w:rsidP="00F54888">
            <w:pPr>
              <w:rPr>
                <w:rFonts w:ascii="Arial" w:hAnsi="Arial" w:cs="Arial"/>
                <w:sz w:val="20"/>
                <w:szCs w:val="20"/>
              </w:rPr>
            </w:pPr>
            <w:r w:rsidRPr="00F54888">
              <w:rPr>
                <w:rFonts w:ascii="Arial" w:hAnsi="Arial" w:cs="Arial"/>
                <w:sz w:val="20"/>
                <w:szCs w:val="20"/>
              </w:rPr>
              <w:t xml:space="preserve">Former residents are always welcome to drop by, </w:t>
            </w:r>
            <w:proofErr w:type="gramStart"/>
            <w:r w:rsidRPr="00F54888">
              <w:rPr>
                <w:rFonts w:ascii="Arial" w:hAnsi="Arial" w:cs="Arial"/>
                <w:sz w:val="20"/>
                <w:szCs w:val="20"/>
              </w:rPr>
              <w:t>We</w:t>
            </w:r>
            <w:proofErr w:type="gramEnd"/>
            <w:r w:rsidRPr="00F5488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have also</w:t>
            </w:r>
            <w:r w:rsidRPr="00F54888">
              <w:rPr>
                <w:rFonts w:ascii="Arial" w:hAnsi="Arial" w:cs="Arial"/>
                <w:sz w:val="20"/>
                <w:szCs w:val="20"/>
              </w:rPr>
              <w:t xml:space="preserve"> invite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F54888">
              <w:rPr>
                <w:rFonts w:ascii="Arial" w:hAnsi="Arial" w:cs="Arial"/>
                <w:sz w:val="20"/>
                <w:szCs w:val="20"/>
              </w:rPr>
              <w:t xml:space="preserve"> ex-residents to join us for Christmas lunch,</w:t>
            </w:r>
            <w:r>
              <w:rPr>
                <w:rFonts w:ascii="Arial" w:hAnsi="Arial" w:cs="Arial"/>
                <w:sz w:val="20"/>
                <w:szCs w:val="20"/>
              </w:rPr>
              <w:t xml:space="preserve"> or functions</w:t>
            </w:r>
            <w:r w:rsidRPr="00F54888">
              <w:rPr>
                <w:rFonts w:ascii="Arial" w:hAnsi="Arial" w:cs="Arial"/>
                <w:sz w:val="20"/>
                <w:szCs w:val="20"/>
              </w:rPr>
              <w:t xml:space="preserve"> and some</w:t>
            </w:r>
            <w:r>
              <w:rPr>
                <w:rFonts w:ascii="Arial" w:hAnsi="Arial" w:cs="Arial"/>
                <w:sz w:val="20"/>
                <w:szCs w:val="20"/>
              </w:rPr>
              <w:t xml:space="preserve"> residents </w:t>
            </w:r>
            <w:r w:rsidRPr="00F54888">
              <w:rPr>
                <w:rFonts w:ascii="Arial" w:hAnsi="Arial" w:cs="Arial"/>
                <w:sz w:val="20"/>
                <w:szCs w:val="20"/>
              </w:rPr>
              <w:t xml:space="preserve"> have returned to lead workshops or share their lived experience stories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4B1033" w14:textId="03497B18" w:rsidR="000F2466" w:rsidRPr="00463C20" w:rsidRDefault="000F2466" w:rsidP="00F5488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5D7BBC47" w14:textId="77777777" w:rsidR="00DB4A37" w:rsidRDefault="00DB4A37" w:rsidP="00DB4A37">
      <w:pPr>
        <w:rPr>
          <w:rFonts w:ascii="Arial" w:hAnsi="Arial" w:cs="Arial"/>
          <w:color w:val="FF0000"/>
          <w:sz w:val="24"/>
          <w:szCs w:val="24"/>
        </w:rPr>
      </w:pPr>
    </w:p>
    <w:sectPr w:rsidR="00DB4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C09BD" w14:textId="77777777" w:rsidR="001E7618" w:rsidRDefault="001E7618" w:rsidP="00567A99">
      <w:pPr>
        <w:spacing w:after="0" w:line="240" w:lineRule="auto"/>
      </w:pPr>
      <w:r>
        <w:separator/>
      </w:r>
    </w:p>
  </w:endnote>
  <w:endnote w:type="continuationSeparator" w:id="0">
    <w:p w14:paraId="264692DD" w14:textId="77777777" w:rsidR="001E7618" w:rsidRDefault="001E7618" w:rsidP="00567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E60C6" w14:textId="77777777" w:rsidR="001E7618" w:rsidRDefault="001E7618" w:rsidP="00567A99">
      <w:pPr>
        <w:spacing w:after="0" w:line="240" w:lineRule="auto"/>
      </w:pPr>
      <w:r>
        <w:separator/>
      </w:r>
    </w:p>
  </w:footnote>
  <w:footnote w:type="continuationSeparator" w:id="0">
    <w:p w14:paraId="490216B9" w14:textId="77777777" w:rsidR="001E7618" w:rsidRDefault="001E7618" w:rsidP="00567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B93"/>
    <w:multiLevelType w:val="hybridMultilevel"/>
    <w:tmpl w:val="8118E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25C25"/>
    <w:multiLevelType w:val="hybridMultilevel"/>
    <w:tmpl w:val="A20C1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57F5C"/>
    <w:multiLevelType w:val="hybridMultilevel"/>
    <w:tmpl w:val="569AA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553D7"/>
    <w:multiLevelType w:val="hybridMultilevel"/>
    <w:tmpl w:val="9B547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F58B1"/>
    <w:multiLevelType w:val="hybridMultilevel"/>
    <w:tmpl w:val="88D6F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377CF"/>
    <w:multiLevelType w:val="hybridMultilevel"/>
    <w:tmpl w:val="3B4AE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B2CBE"/>
    <w:multiLevelType w:val="multilevel"/>
    <w:tmpl w:val="502C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D75B33"/>
    <w:multiLevelType w:val="hybridMultilevel"/>
    <w:tmpl w:val="2068A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125A2"/>
    <w:multiLevelType w:val="hybridMultilevel"/>
    <w:tmpl w:val="FE6AE5FE"/>
    <w:lvl w:ilvl="0" w:tplc="005E567A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277739">
    <w:abstractNumId w:val="2"/>
  </w:num>
  <w:num w:numId="2" w16cid:durableId="1967931620">
    <w:abstractNumId w:val="7"/>
  </w:num>
  <w:num w:numId="3" w16cid:durableId="1567380872">
    <w:abstractNumId w:val="5"/>
  </w:num>
  <w:num w:numId="4" w16cid:durableId="411125391">
    <w:abstractNumId w:val="3"/>
  </w:num>
  <w:num w:numId="5" w16cid:durableId="388922547">
    <w:abstractNumId w:val="1"/>
  </w:num>
  <w:num w:numId="6" w16cid:durableId="1171144501">
    <w:abstractNumId w:val="8"/>
  </w:num>
  <w:num w:numId="7" w16cid:durableId="1232035242">
    <w:abstractNumId w:val="4"/>
  </w:num>
  <w:num w:numId="8" w16cid:durableId="1476138831">
    <w:abstractNumId w:val="0"/>
  </w:num>
  <w:num w:numId="9" w16cid:durableId="10454475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A99"/>
    <w:rsid w:val="00014967"/>
    <w:rsid w:val="00065157"/>
    <w:rsid w:val="00066036"/>
    <w:rsid w:val="000B36DE"/>
    <w:rsid w:val="000C2D1D"/>
    <w:rsid w:val="000E1985"/>
    <w:rsid w:val="000F2466"/>
    <w:rsid w:val="00160A93"/>
    <w:rsid w:val="001E7618"/>
    <w:rsid w:val="0024738F"/>
    <w:rsid w:val="0026694D"/>
    <w:rsid w:val="00275FFA"/>
    <w:rsid w:val="00277C4B"/>
    <w:rsid w:val="00295BDC"/>
    <w:rsid w:val="002D57EA"/>
    <w:rsid w:val="002F227F"/>
    <w:rsid w:val="00387DCC"/>
    <w:rsid w:val="003B26D1"/>
    <w:rsid w:val="003B5679"/>
    <w:rsid w:val="003C5C8B"/>
    <w:rsid w:val="003E4632"/>
    <w:rsid w:val="00440A0F"/>
    <w:rsid w:val="00463C20"/>
    <w:rsid w:val="00472D1C"/>
    <w:rsid w:val="0047703B"/>
    <w:rsid w:val="00493397"/>
    <w:rsid w:val="00495558"/>
    <w:rsid w:val="004A35E0"/>
    <w:rsid w:val="004B0F5F"/>
    <w:rsid w:val="004D507C"/>
    <w:rsid w:val="00513E32"/>
    <w:rsid w:val="00531D9F"/>
    <w:rsid w:val="005501EB"/>
    <w:rsid w:val="00567A99"/>
    <w:rsid w:val="0058181A"/>
    <w:rsid w:val="005C354F"/>
    <w:rsid w:val="0061246B"/>
    <w:rsid w:val="00616AFE"/>
    <w:rsid w:val="006335D2"/>
    <w:rsid w:val="00636E2F"/>
    <w:rsid w:val="006562EF"/>
    <w:rsid w:val="006A0613"/>
    <w:rsid w:val="006B640C"/>
    <w:rsid w:val="006C5018"/>
    <w:rsid w:val="006F1C3F"/>
    <w:rsid w:val="00711E4F"/>
    <w:rsid w:val="007417D5"/>
    <w:rsid w:val="00745CE6"/>
    <w:rsid w:val="00747024"/>
    <w:rsid w:val="007546C0"/>
    <w:rsid w:val="007A31FF"/>
    <w:rsid w:val="007B2BC1"/>
    <w:rsid w:val="007D2406"/>
    <w:rsid w:val="007D7926"/>
    <w:rsid w:val="007E2EBE"/>
    <w:rsid w:val="008222C0"/>
    <w:rsid w:val="00832C73"/>
    <w:rsid w:val="00841C70"/>
    <w:rsid w:val="008F6E5C"/>
    <w:rsid w:val="00926AF0"/>
    <w:rsid w:val="00927EC2"/>
    <w:rsid w:val="009602A6"/>
    <w:rsid w:val="0097109B"/>
    <w:rsid w:val="0099622E"/>
    <w:rsid w:val="009B6F6E"/>
    <w:rsid w:val="00A305F0"/>
    <w:rsid w:val="00A40A92"/>
    <w:rsid w:val="00A43CEE"/>
    <w:rsid w:val="00A553AA"/>
    <w:rsid w:val="00A97CB8"/>
    <w:rsid w:val="00AE1603"/>
    <w:rsid w:val="00AE252F"/>
    <w:rsid w:val="00B07211"/>
    <w:rsid w:val="00B15814"/>
    <w:rsid w:val="00B208C4"/>
    <w:rsid w:val="00B524D6"/>
    <w:rsid w:val="00B62781"/>
    <w:rsid w:val="00B94D19"/>
    <w:rsid w:val="00BD05B8"/>
    <w:rsid w:val="00BD4979"/>
    <w:rsid w:val="00BD6F4C"/>
    <w:rsid w:val="00BF6039"/>
    <w:rsid w:val="00C122F7"/>
    <w:rsid w:val="00C3465C"/>
    <w:rsid w:val="00C369F2"/>
    <w:rsid w:val="00C5419A"/>
    <w:rsid w:val="00C675EE"/>
    <w:rsid w:val="00C81EAD"/>
    <w:rsid w:val="00C90945"/>
    <w:rsid w:val="00CA3399"/>
    <w:rsid w:val="00CB49A7"/>
    <w:rsid w:val="00CB710F"/>
    <w:rsid w:val="00CC4D0C"/>
    <w:rsid w:val="00CE78A4"/>
    <w:rsid w:val="00CF3B8C"/>
    <w:rsid w:val="00D00634"/>
    <w:rsid w:val="00D07AE3"/>
    <w:rsid w:val="00D155E4"/>
    <w:rsid w:val="00D15CBA"/>
    <w:rsid w:val="00D31B14"/>
    <w:rsid w:val="00D37DA8"/>
    <w:rsid w:val="00D41E9B"/>
    <w:rsid w:val="00DA4352"/>
    <w:rsid w:val="00DA56B7"/>
    <w:rsid w:val="00DB4A37"/>
    <w:rsid w:val="00DE6A66"/>
    <w:rsid w:val="00DF76DD"/>
    <w:rsid w:val="00E02639"/>
    <w:rsid w:val="00E0313D"/>
    <w:rsid w:val="00E40A06"/>
    <w:rsid w:val="00E42FAB"/>
    <w:rsid w:val="00E4561A"/>
    <w:rsid w:val="00E6182D"/>
    <w:rsid w:val="00E70D32"/>
    <w:rsid w:val="00E7299B"/>
    <w:rsid w:val="00E91DF0"/>
    <w:rsid w:val="00EA7D04"/>
    <w:rsid w:val="00F0720F"/>
    <w:rsid w:val="00F20BE1"/>
    <w:rsid w:val="00F54888"/>
    <w:rsid w:val="00F71A19"/>
    <w:rsid w:val="00F821D2"/>
    <w:rsid w:val="00F84B7C"/>
    <w:rsid w:val="00FB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DD2C8"/>
  <w15:docId w15:val="{F14E2441-0D83-4854-97FF-CB62D8A6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7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7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A99"/>
  </w:style>
  <w:style w:type="paragraph" w:styleId="Footer">
    <w:name w:val="footer"/>
    <w:basedOn w:val="Normal"/>
    <w:link w:val="FooterChar"/>
    <w:uiPriority w:val="99"/>
    <w:unhideWhenUsed/>
    <w:rsid w:val="00567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A99"/>
  </w:style>
  <w:style w:type="paragraph" w:styleId="ListParagraph">
    <w:name w:val="List Paragraph"/>
    <w:basedOn w:val="Normal"/>
    <w:uiPriority w:val="34"/>
    <w:qFormat/>
    <w:rsid w:val="009B6F6E"/>
    <w:pPr>
      <w:ind w:left="720"/>
      <w:contextualSpacing/>
    </w:pPr>
  </w:style>
  <w:style w:type="character" w:customStyle="1" w:styleId="body-text1">
    <w:name w:val="body-text1"/>
    <w:basedOn w:val="DefaultParagraphFont"/>
    <w:rsid w:val="00495558"/>
  </w:style>
  <w:style w:type="character" w:styleId="Hyperlink">
    <w:name w:val="Hyperlink"/>
    <w:basedOn w:val="DefaultParagraphFont"/>
    <w:uiPriority w:val="99"/>
    <w:unhideWhenUsed/>
    <w:rsid w:val="00AE16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Hreferrals@wythamhall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4585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Westminster City Council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Gallou, Elizabeth</dc:creator>
  <cp:lastModifiedBy>Anna Midgley</cp:lastModifiedBy>
  <cp:revision>2</cp:revision>
  <cp:lastPrinted>2020-02-03T13:18:00Z</cp:lastPrinted>
  <dcterms:created xsi:type="dcterms:W3CDTF">2025-10-02T08:51:00Z</dcterms:created>
  <dcterms:modified xsi:type="dcterms:W3CDTF">2025-10-02T08:51:00Z</dcterms:modified>
</cp:coreProperties>
</file>